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88420069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f4j&#10;zNgAAAAMAQAADwAAAAAAAAABACAAAAAiAAAAZHJzL2Rvd25yZXYueG1sUEsBAhQAFAAAAAgAh07i&#10;QG9viwzpAQAAsgMAAA4AAAAAAAAAAQAgAAAAJwEAAGRycy9lMm9Eb2MueG1sUEsFBgAAAAAGAAYA&#10;WQEAAIIFA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县级（区域）医疗资源</w:t>
      </w:r>
      <w:r>
        <w:rPr>
          <w:rFonts w:hint="eastAsia"/>
          <w:lang w:eastAsia="zh-CN"/>
        </w:rPr>
        <w:t>集中化运行</w:t>
      </w:r>
      <w:r>
        <w:rPr>
          <w:rFonts w:hint="eastAsia"/>
        </w:rPr>
        <w:t xml:space="preserve">规范 </w:t>
      </w:r>
    </w:p>
    <w:p>
      <w:pPr>
        <w:pStyle w:val="197"/>
        <w:framePr w:h="6974" w:hRule="exact" w:wrap="around" w:x="1419" w:anchorLock="1"/>
        <w:rPr>
          <w:rFonts w:hint="eastAsia"/>
        </w:rPr>
      </w:pPr>
      <w:r>
        <w:rPr>
          <w:rFonts w:hint="eastAsia"/>
        </w:rPr>
        <w:t>第7部分：临床检验中心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lang w:eastAsia="zh-CN"/>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County-Level (Regional) Medical Resource Centralization Operation Standards</w:t>
      </w:r>
      <w:r>
        <w:rPr>
          <w:rFonts w:hint="eastAsia" w:ascii="黑体" w:hAnsi="黑体" w:eastAsia="黑体"/>
          <w:szCs w:val="28"/>
          <w:lang w:eastAsia="zh-CN"/>
        </w:rPr>
        <w:t>——</w:t>
      </w:r>
    </w:p>
    <w:p>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t xml:space="preserve"> </w:t>
      </w:r>
      <w:r>
        <w:rPr>
          <w:rFonts w:hint="eastAsia" w:ascii="黑体" w:hAnsi="黑体" w:eastAsia="黑体"/>
          <w:szCs w:val="28"/>
          <w:lang w:val="en-US" w:eastAsia="zh-CN"/>
        </w:rPr>
        <w:t>Part7：</w:t>
      </w:r>
      <w:r>
        <w:rPr>
          <w:rFonts w:ascii="黑体" w:hAnsi="黑体" w:eastAsia="黑体"/>
          <w:szCs w:val="28"/>
        </w:rPr>
        <w:t>medical examination centers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lang w:eastAsia="zh-CN"/>
        </w:rPr>
        <w:t>（本草案完成时间：2024年）</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1579258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mp&#10;0YvXAAAADgEAAA8AAAAAAAAAAQAgAAAAIgAAAGRycy9kb3ducmV2LnhtbFBLAQIUABQAAAAIAIdO&#10;4kDjlax76wEAALIDAAAOAAAAAAAAAAEAIAAAACYBAABkcnMvZTJvRG9jLnhtbFBLBQYAAAAABgAG&#10;AFkBAACDBQ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4166391"/>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"标准文件_一级条标题,2,标准文件_二级条标题,3,标准文件_三级条标题,4,标准文件_四级条标题,5,标准文件_附录一级条标题,2,标准文件_附录二级条标题,3,标准文件_附录三级条标题,4,标准文件_附录四级条标题,5," </w:instrText>
      </w:r>
      <w:r>
        <w:fldChar w:fldCharType="separate"/>
      </w:r>
      <w:r>
        <w:fldChar w:fldCharType="begin"/>
      </w:r>
      <w:r>
        <w:instrText xml:space="preserve"> HYPERLINK \l "_Toc168996612" </w:instrText>
      </w:r>
      <w:r>
        <w:fldChar w:fldCharType="separate"/>
      </w:r>
      <w:r>
        <w:rPr>
          <w:rStyle w:val="32"/>
        </w:rPr>
        <w:t>前言</w:t>
      </w:r>
      <w:r>
        <w:tab/>
      </w:r>
      <w:r>
        <w:fldChar w:fldCharType="begin"/>
      </w:r>
      <w:r>
        <w:instrText xml:space="preserve"> PAGEREF _Toc168996612 \h </w:instrText>
      </w:r>
      <w:r>
        <w:fldChar w:fldCharType="separate"/>
      </w:r>
      <w:r>
        <w:t>III</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"_Toc168996613" </w:instrText>
      </w:r>
      <w:r>
        <w:fldChar w:fldCharType="separate"/>
      </w:r>
      <w:r>
        <w:rPr>
          <w:rStyle w:val="32"/>
        </w:rPr>
        <w:t>引言</w:t>
      </w:r>
      <w:r>
        <w:tab/>
      </w:r>
      <w:r>
        <w:fldChar w:fldCharType="begin"/>
      </w:r>
      <w:r>
        <w:instrText xml:space="preserve"> PAGEREF _Toc168996613 \h </w:instrText>
      </w:r>
      <w:r>
        <w:fldChar w:fldCharType="separate"/>
      </w:r>
      <w:r>
        <w:t>IV</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"_Toc168996614" </w:instrText>
      </w:r>
      <w:r>
        <w:fldChar w:fldCharType="separate"/>
      </w:r>
      <w:r>
        <w:rPr>
          <w:rStyle w:val="32"/>
        </w:rPr>
        <w:t>1  范围</w:t>
      </w:r>
      <w:r>
        <w:tab/>
      </w:r>
      <w:r>
        <w:fldChar w:fldCharType="begin"/>
      </w:r>
      <w:r>
        <w:instrText xml:space="preserve"> PAGEREF _Toc168996614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"_Toc168996615" </w:instrText>
      </w:r>
      <w:r>
        <w:fldChar w:fldCharType="separate"/>
      </w:r>
      <w:r>
        <w:rPr>
          <w:rStyle w:val="32"/>
        </w:rPr>
        <w:t>2  规范性引用文件</w:t>
      </w:r>
      <w:r>
        <w:tab/>
      </w:r>
      <w:r>
        <w:fldChar w:fldCharType="begin"/>
      </w:r>
      <w:r>
        <w:instrText xml:space="preserve"> PAGEREF _Toc168996615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"_Toc168996616" </w:instrText>
      </w:r>
      <w:r>
        <w:fldChar w:fldCharType="separate"/>
      </w:r>
      <w:r>
        <w:rPr>
          <w:rStyle w:val="32"/>
        </w:rPr>
        <w:t>3  术语和定义</w:t>
      </w:r>
      <w:r>
        <w:tab/>
      </w:r>
      <w:r>
        <w:fldChar w:fldCharType="begin"/>
      </w:r>
      <w:r>
        <w:instrText xml:space="preserve"> PAGEREF _Toc168996616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"_Toc168996617" </w:instrText>
      </w:r>
      <w:r>
        <w:fldChar w:fldCharType="separate"/>
      </w:r>
      <w:r>
        <w:rPr>
          <w:rStyle w:val="32"/>
        </w:rPr>
        <w:t>4  基本要求</w:t>
      </w:r>
      <w:r>
        <w:tab/>
      </w:r>
      <w:r>
        <w:fldChar w:fldCharType="begin"/>
      </w:r>
      <w:r>
        <w:instrText xml:space="preserve"> PAGEREF _Toc168996617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"_Toc168996618" </w:instrText>
      </w:r>
      <w:r>
        <w:fldChar w:fldCharType="separate"/>
      </w:r>
      <w:r>
        <w:rPr>
          <w:rStyle w:val="32"/>
        </w:rPr>
        <w:t>5  建筑设施</w:t>
      </w:r>
      <w:r>
        <w:tab/>
      </w:r>
      <w:r>
        <w:fldChar w:fldCharType="begin"/>
      </w:r>
      <w:r>
        <w:instrText xml:space="preserve"> PAGEREF _Toc168996618 \h </w:instrText>
      </w:r>
      <w:r>
        <w:fldChar w:fldCharType="separate"/>
      </w:r>
      <w:r>
        <w:t>2</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"_Toc168996619" </w:instrText>
      </w:r>
      <w:r>
        <w:fldChar w:fldCharType="separate"/>
      </w:r>
      <w:r>
        <w:rPr>
          <w:rStyle w:val="32"/>
        </w:rPr>
        <w:t>5.1  实验室设计</w:t>
      </w:r>
      <w:r>
        <w:tab/>
      </w:r>
      <w:r>
        <w:fldChar w:fldCharType="begin"/>
      </w:r>
      <w:r>
        <w:instrText xml:space="preserve"> PAGEREF _Toc168996619 \h </w:instrText>
      </w:r>
      <w:r>
        <w:fldChar w:fldCharType="separate"/>
      </w:r>
      <w:r>
        <w:t>2</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"_Toc168996620" </w:instrText>
      </w:r>
      <w:r>
        <w:fldChar w:fldCharType="separate"/>
      </w:r>
      <w:r>
        <w:rPr>
          <w:rStyle w:val="32"/>
        </w:rPr>
        <w:t>5.2  规划布局</w:t>
      </w:r>
      <w:r>
        <w:tab/>
      </w:r>
      <w:r>
        <w:fldChar w:fldCharType="begin"/>
      </w:r>
      <w:r>
        <w:instrText xml:space="preserve"> PAGEREF _Toc168996620 \h </w:instrText>
      </w:r>
      <w:r>
        <w:fldChar w:fldCharType="separate"/>
      </w:r>
      <w:r>
        <w:t>2</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"_Toc168996621" </w:instrText>
      </w:r>
      <w:r>
        <w:fldChar w:fldCharType="separate"/>
      </w:r>
      <w:r>
        <w:rPr>
          <w:rStyle w:val="32"/>
        </w:rPr>
        <w:t>5.3  区域划分</w:t>
      </w:r>
      <w:r>
        <w:tab/>
      </w:r>
      <w:r>
        <w:fldChar w:fldCharType="begin"/>
      </w:r>
      <w:r>
        <w:instrText xml:space="preserve"> PAGEREF _Toc168996621 \h </w:instrText>
      </w:r>
      <w:r>
        <w:fldChar w:fldCharType="separate"/>
      </w:r>
      <w:r>
        <w:t>2</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"_Toc168996622" </w:instrText>
      </w:r>
      <w:r>
        <w:fldChar w:fldCharType="separate"/>
      </w:r>
      <w:r>
        <w:rPr>
          <w:rStyle w:val="32"/>
        </w:rPr>
        <w:t>5.4  实验室通风排风系统</w:t>
      </w:r>
      <w:r>
        <w:tab/>
      </w:r>
      <w:r>
        <w:fldChar w:fldCharType="begin"/>
      </w:r>
      <w:r>
        <w:instrText xml:space="preserve"> PAGEREF _Toc168996622 \h </w:instrText>
      </w:r>
      <w:r>
        <w:fldChar w:fldCharType="separate"/>
      </w:r>
      <w:r>
        <w:t>2</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"_Toc168996623" </w:instrText>
      </w:r>
      <w:r>
        <w:fldChar w:fldCharType="separate"/>
      </w:r>
      <w:r>
        <w:rPr>
          <w:rStyle w:val="32"/>
        </w:rPr>
        <w:t>5.5  实验室用电</w:t>
      </w:r>
      <w:r>
        <w:tab/>
      </w:r>
      <w:r>
        <w:fldChar w:fldCharType="begin"/>
      </w:r>
      <w:r>
        <w:instrText xml:space="preserve"> PAGEREF _Toc168996623 \h </w:instrText>
      </w:r>
      <w:r>
        <w:fldChar w:fldCharType="separate"/>
      </w:r>
      <w:r>
        <w:t>3</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"_Toc168996624" </w:instrText>
      </w:r>
      <w:r>
        <w:fldChar w:fldCharType="separate"/>
      </w:r>
      <w:r>
        <w:rPr>
          <w:rStyle w:val="32"/>
        </w:rPr>
        <w:t>5.6  实验室给排水系统</w:t>
      </w:r>
      <w:r>
        <w:tab/>
      </w:r>
      <w:r>
        <w:fldChar w:fldCharType="begin"/>
      </w:r>
      <w:r>
        <w:instrText xml:space="preserve"> PAGEREF _Toc168996624 \h </w:instrText>
      </w:r>
      <w:r>
        <w:fldChar w:fldCharType="separate"/>
      </w:r>
      <w:r>
        <w:t>3</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"_Toc168996625" </w:instrText>
      </w:r>
      <w:r>
        <w:fldChar w:fldCharType="separate"/>
      </w:r>
      <w:r>
        <w:rPr>
          <w:rStyle w:val="32"/>
        </w:rPr>
        <w:t>5.7  实验室装修</w:t>
      </w:r>
      <w:r>
        <w:tab/>
      </w:r>
      <w:r>
        <w:fldChar w:fldCharType="begin"/>
      </w:r>
      <w:r>
        <w:instrText xml:space="preserve"> PAGEREF _Toc168996625 \h </w:instrText>
      </w:r>
      <w:r>
        <w:fldChar w:fldCharType="separate"/>
      </w:r>
      <w:r>
        <w:t>3</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"_Toc168996626" </w:instrText>
      </w:r>
      <w:r>
        <w:fldChar w:fldCharType="separate"/>
      </w:r>
      <w:r>
        <w:rPr>
          <w:rStyle w:val="32"/>
        </w:rPr>
        <w:t>5.8  实验室安全设施</w:t>
      </w:r>
      <w:r>
        <w:tab/>
      </w:r>
      <w:r>
        <w:fldChar w:fldCharType="begin"/>
      </w:r>
      <w:r>
        <w:instrText xml:space="preserve"> PAGEREF _Toc168996626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"_Toc168996627" </w:instrText>
      </w:r>
      <w:r>
        <w:fldChar w:fldCharType="separate"/>
      </w:r>
      <w:r>
        <w:rPr>
          <w:rStyle w:val="32"/>
        </w:rPr>
        <w:t>6  仪器设备</w:t>
      </w:r>
      <w:r>
        <w:tab/>
      </w:r>
      <w:r>
        <w:fldChar w:fldCharType="begin"/>
      </w:r>
      <w:r>
        <w:instrText xml:space="preserve"> PAGEREF _Toc168996627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"_Toc168996628" </w:instrText>
      </w:r>
      <w:r>
        <w:fldChar w:fldCharType="separate"/>
      </w:r>
      <w:r>
        <w:rPr>
          <w:rStyle w:val="32"/>
        </w:rPr>
        <w:t>7  信息管理</w:t>
      </w:r>
      <w:r>
        <w:tab/>
      </w:r>
      <w:r>
        <w:fldChar w:fldCharType="begin"/>
      </w:r>
      <w:r>
        <w:instrText xml:space="preserve"> PAGEREF _Toc168996628 \h </w:instrText>
      </w:r>
      <w:r>
        <w:fldChar w:fldCharType="separate"/>
      </w:r>
      <w:r>
        <w:t>4</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"_Toc168996629" </w:instrText>
      </w:r>
      <w:r>
        <w:fldChar w:fldCharType="separate"/>
      </w:r>
      <w:r>
        <w:rPr>
          <w:rStyle w:val="32"/>
        </w:rPr>
        <w:t>7.1  区域信息平台主要建设内容</w:t>
      </w:r>
      <w:r>
        <w:tab/>
      </w:r>
      <w:r>
        <w:fldChar w:fldCharType="begin"/>
      </w:r>
      <w:r>
        <w:instrText xml:space="preserve"> PAGEREF _Toc168996629 \h </w:instrText>
      </w:r>
      <w:r>
        <w:fldChar w:fldCharType="separate"/>
      </w:r>
      <w:r>
        <w:t>4</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"_Toc168996630" </w:instrText>
      </w:r>
      <w:r>
        <w:fldChar w:fldCharType="separate"/>
      </w:r>
      <w:r>
        <w:rPr>
          <w:rStyle w:val="32"/>
        </w:rPr>
        <w:t>7.2  区域医学检验中心LIS应用</w:t>
      </w:r>
      <w:r>
        <w:tab/>
      </w:r>
      <w:r>
        <w:fldChar w:fldCharType="begin"/>
      </w:r>
      <w:r>
        <w:instrText xml:space="preserve"> PAGEREF _Toc168996630 \h </w:instrText>
      </w:r>
      <w:r>
        <w:fldChar w:fldCharType="separate"/>
      </w:r>
      <w:r>
        <w:t>4</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"_Toc168996631" </w:instrText>
      </w:r>
      <w:r>
        <w:fldChar w:fldCharType="separate"/>
      </w:r>
      <w:r>
        <w:rPr>
          <w:rStyle w:val="32"/>
        </w:rPr>
        <w:t>7.2.1  实验室内部信息系统</w:t>
      </w:r>
      <w:r>
        <w:tab/>
      </w:r>
      <w:r>
        <w:fldChar w:fldCharType="begin"/>
      </w:r>
      <w:r>
        <w:instrText xml:space="preserve"> PAGEREF _Toc168996631 \h </w:instrText>
      </w:r>
      <w:r>
        <w:fldChar w:fldCharType="separate"/>
      </w:r>
      <w:r>
        <w:t>5</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"_Toc168996632" </w:instrText>
      </w:r>
      <w:r>
        <w:fldChar w:fldCharType="separate"/>
      </w:r>
      <w:r>
        <w:rPr>
          <w:rStyle w:val="32"/>
        </w:rPr>
        <w:t>7.2.2  临床科室与检验有关的系统信息化对接</w:t>
      </w:r>
      <w:r>
        <w:tab/>
      </w:r>
      <w:r>
        <w:fldChar w:fldCharType="begin"/>
      </w:r>
      <w:r>
        <w:instrText xml:space="preserve"> PAGEREF _Toc168996632 \h </w:instrText>
      </w:r>
      <w:r>
        <w:fldChar w:fldCharType="separate"/>
      </w:r>
      <w:r>
        <w:t>5</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"_Toc168996633" </w:instrText>
      </w:r>
      <w:r>
        <w:fldChar w:fldCharType="separate"/>
      </w:r>
      <w:r>
        <w:rPr>
          <w:rStyle w:val="32"/>
        </w:rPr>
        <w:t>7.2.3  与各区域化平台接口对接</w:t>
      </w:r>
      <w:r>
        <w:tab/>
      </w:r>
      <w:r>
        <w:fldChar w:fldCharType="begin"/>
      </w:r>
      <w:r>
        <w:instrText xml:space="preserve"> PAGEREF _Toc168996633 \h </w:instrText>
      </w:r>
      <w:r>
        <w:fldChar w:fldCharType="separate"/>
      </w:r>
      <w:r>
        <w:t>5</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"_Toc168996634" </w:instrText>
      </w:r>
      <w:r>
        <w:fldChar w:fldCharType="separate"/>
      </w:r>
      <w:r>
        <w:rPr>
          <w:rStyle w:val="32"/>
        </w:rPr>
        <w:t>7.2.4  与第三方实验室系统互联</w:t>
      </w:r>
      <w:r>
        <w:tab/>
      </w:r>
      <w:r>
        <w:fldChar w:fldCharType="begin"/>
      </w:r>
      <w:r>
        <w:instrText xml:space="preserve"> PAGEREF _Toc168996634 \h </w:instrText>
      </w:r>
      <w:r>
        <w:fldChar w:fldCharType="separate"/>
      </w:r>
      <w:r>
        <w:t>5</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"_Toc168996635" </w:instrText>
      </w:r>
      <w:r>
        <w:fldChar w:fldCharType="separate"/>
      </w:r>
      <w:r>
        <w:rPr>
          <w:rStyle w:val="32"/>
        </w:rPr>
        <w:t>7.3  区域LIS数据中心</w:t>
      </w:r>
      <w:r>
        <w:tab/>
      </w:r>
      <w:r>
        <w:fldChar w:fldCharType="begin"/>
      </w:r>
      <w:r>
        <w:instrText xml:space="preserve"> PAGEREF _Toc168996635 \h </w:instrText>
      </w:r>
      <w:r>
        <w:fldChar w:fldCharType="separate"/>
      </w:r>
      <w:r>
        <w:t>5</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"_Toc168996636" </w:instrText>
      </w:r>
      <w:r>
        <w:fldChar w:fldCharType="separate"/>
      </w:r>
      <w:r>
        <w:rPr>
          <w:rStyle w:val="32"/>
        </w:rPr>
        <w:t>7.4  区域医疗协同平台</w:t>
      </w:r>
      <w:r>
        <w:tab/>
      </w:r>
      <w:r>
        <w:fldChar w:fldCharType="begin"/>
      </w:r>
      <w:r>
        <w:instrText xml:space="preserve"> PAGEREF _Toc168996636 \h </w:instrText>
      </w:r>
      <w:r>
        <w:fldChar w:fldCharType="separate"/>
      </w:r>
      <w:r>
        <w:t>5</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"_Toc168996637" </w:instrText>
      </w:r>
      <w:r>
        <w:fldChar w:fldCharType="separate"/>
      </w:r>
      <w:r>
        <w:rPr>
          <w:rStyle w:val="32"/>
        </w:rPr>
        <w:t>7.5  区域检验数据共享平台</w:t>
      </w:r>
      <w:r>
        <w:tab/>
      </w:r>
      <w:r>
        <w:fldChar w:fldCharType="begin"/>
      </w:r>
      <w:r>
        <w:instrText xml:space="preserve"> PAGEREF _Toc168996637 \h </w:instrText>
      </w:r>
      <w:r>
        <w:fldChar w:fldCharType="separate"/>
      </w:r>
      <w:r>
        <w:t>5</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"_Toc168996638" </w:instrText>
      </w:r>
      <w:r>
        <w:fldChar w:fldCharType="separate"/>
      </w:r>
      <w:r>
        <w:rPr>
          <w:rStyle w:val="32"/>
        </w:rPr>
        <w:t>7.6  区域医学检验中心流程设计</w:t>
      </w:r>
      <w:r>
        <w:tab/>
      </w:r>
      <w:r>
        <w:fldChar w:fldCharType="begin"/>
      </w:r>
      <w:r>
        <w:instrText xml:space="preserve"> PAGEREF _Toc168996638 \h </w:instrText>
      </w:r>
      <w:r>
        <w:fldChar w:fldCharType="separate"/>
      </w:r>
      <w:r>
        <w:t>6</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"_Toc168996639" </w:instrText>
      </w:r>
      <w:r>
        <w:fldChar w:fldCharType="separate"/>
      </w:r>
      <w:r>
        <w:rPr>
          <w:rStyle w:val="32"/>
        </w:rPr>
        <w:t>7.6.1  电子申请和医嘱执行</w:t>
      </w:r>
      <w:r>
        <w:tab/>
      </w:r>
      <w:r>
        <w:fldChar w:fldCharType="begin"/>
      </w:r>
      <w:r>
        <w:instrText xml:space="preserve"> PAGEREF _Toc168996639 \h </w:instrText>
      </w:r>
      <w:r>
        <w:fldChar w:fldCharType="separate"/>
      </w:r>
      <w:r>
        <w:t>6</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"_Toc168996640" </w:instrText>
      </w:r>
      <w:r>
        <w:fldChar w:fldCharType="separate"/>
      </w:r>
      <w:r>
        <w:rPr>
          <w:rStyle w:val="32"/>
        </w:rPr>
        <w:t>7.6.2  样本流转</w:t>
      </w:r>
      <w:r>
        <w:tab/>
      </w:r>
      <w:r>
        <w:fldChar w:fldCharType="begin"/>
      </w:r>
      <w:r>
        <w:instrText xml:space="preserve"> PAGEREF _Toc168996640 \h </w:instrText>
      </w:r>
      <w:r>
        <w:fldChar w:fldCharType="separate"/>
      </w:r>
      <w:r>
        <w:t>6</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"_Toc168996641" </w:instrText>
      </w:r>
      <w:r>
        <w:fldChar w:fldCharType="separate"/>
      </w:r>
      <w:r>
        <w:rPr>
          <w:rStyle w:val="32"/>
        </w:rPr>
        <w:t>7.6.3  样本接收、检测与审核</w:t>
      </w:r>
      <w:r>
        <w:tab/>
      </w:r>
      <w:r>
        <w:fldChar w:fldCharType="begin"/>
      </w:r>
      <w:r>
        <w:instrText xml:space="preserve"> PAGEREF _Toc168996641 \h </w:instrText>
      </w:r>
      <w:r>
        <w:fldChar w:fldCharType="separate"/>
      </w:r>
      <w:r>
        <w:t>6</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"_Toc168996642" </w:instrText>
      </w:r>
      <w:r>
        <w:fldChar w:fldCharType="separate"/>
      </w:r>
      <w:r>
        <w:rPr>
          <w:rStyle w:val="32"/>
        </w:rPr>
        <w:t>7.6.4  报告发布</w:t>
      </w:r>
      <w:r>
        <w:tab/>
      </w:r>
      <w:r>
        <w:fldChar w:fldCharType="begin"/>
      </w:r>
      <w:r>
        <w:instrText xml:space="preserve"> PAGEREF _Toc168996642 \h </w:instrText>
      </w:r>
      <w:r>
        <w:fldChar w:fldCharType="separate"/>
      </w:r>
      <w:r>
        <w:t>6</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"_Toc168996643" </w:instrText>
      </w:r>
      <w:r>
        <w:fldChar w:fldCharType="separate"/>
      </w:r>
      <w:r>
        <w:rPr>
          <w:rStyle w:val="32"/>
        </w:rPr>
        <w:t>7.7  临床实验室信息系统基本功能</w:t>
      </w:r>
      <w:r>
        <w:tab/>
      </w:r>
      <w:r>
        <w:fldChar w:fldCharType="begin"/>
      </w:r>
      <w:r>
        <w:instrText xml:space="preserve"> PAGEREF _Toc168996643 \h </w:instrText>
      </w:r>
      <w:r>
        <w:fldChar w:fldCharType="separate"/>
      </w:r>
      <w:r>
        <w:t>6</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"_Toc168996644" </w:instrText>
      </w:r>
      <w:r>
        <w:fldChar w:fldCharType="separate"/>
      </w:r>
      <w:r>
        <w:rPr>
          <w:rStyle w:val="32"/>
        </w:rPr>
        <w:t>7.7.1  LIS功能基本要求</w:t>
      </w:r>
      <w:r>
        <w:tab/>
      </w:r>
      <w:r>
        <w:fldChar w:fldCharType="begin"/>
      </w:r>
      <w:r>
        <w:instrText xml:space="preserve"> PAGEREF _Toc168996644 \h </w:instrText>
      </w:r>
      <w:r>
        <w:fldChar w:fldCharType="separate"/>
      </w:r>
      <w:r>
        <w:t>6</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"_Toc168996645" </w:instrText>
      </w:r>
      <w:r>
        <w:fldChar w:fldCharType="separate"/>
      </w:r>
      <w:r>
        <w:rPr>
          <w:rStyle w:val="32"/>
        </w:rPr>
        <w:t>7.7.2  LIS基本功能</w:t>
      </w:r>
      <w:r>
        <w:tab/>
      </w:r>
      <w:r>
        <w:fldChar w:fldCharType="begin"/>
      </w:r>
      <w:r>
        <w:instrText xml:space="preserve"> PAGEREF _Toc168996645 \h </w:instrText>
      </w:r>
      <w:r>
        <w:fldChar w:fldCharType="separate"/>
      </w:r>
      <w:r>
        <w:t>6</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"_Toc168996646" </w:instrText>
      </w:r>
      <w:r>
        <w:fldChar w:fldCharType="separate"/>
      </w:r>
      <w:r>
        <w:rPr>
          <w:rStyle w:val="32"/>
        </w:rPr>
        <w:t xml:space="preserve">8 </w:t>
      </w:r>
      <w:r>
        <w:rPr>
          <w:rStyle w:val="32"/>
          <w:b/>
          <w:bCs/>
        </w:rPr>
        <w:t xml:space="preserve"> 运行流程</w:t>
      </w:r>
      <w:r>
        <w:tab/>
      </w:r>
      <w:r>
        <w:fldChar w:fldCharType="begin"/>
      </w:r>
      <w:r>
        <w:instrText xml:space="preserve"> PAGEREF _Toc168996646 \h </w:instrText>
      </w:r>
      <w:r>
        <w:fldChar w:fldCharType="separate"/>
      </w:r>
      <w:r>
        <w:t>6</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"_Toc168996647" </w:instrText>
      </w:r>
      <w:r>
        <w:fldChar w:fldCharType="separate"/>
      </w:r>
      <w:r>
        <w:rPr>
          <w:rStyle w:val="32"/>
          <w:bCs/>
        </w:rPr>
        <w:t xml:space="preserve">9 </w:t>
      </w:r>
      <w:r>
        <w:rPr>
          <w:rStyle w:val="32"/>
          <w:b/>
          <w:bCs/>
        </w:rPr>
        <w:t xml:space="preserve"> 质量管理</w:t>
      </w:r>
      <w:r>
        <w:tab/>
      </w:r>
      <w:r>
        <w:fldChar w:fldCharType="begin"/>
      </w:r>
      <w:r>
        <w:instrText xml:space="preserve"> PAGEREF _Toc168996647 \h </w:instrText>
      </w:r>
      <w:r>
        <w:fldChar w:fldCharType="separate"/>
      </w:r>
      <w:r>
        <w:t>7</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"_Toc168996648" </w:instrText>
      </w:r>
      <w:r>
        <w:fldChar w:fldCharType="separate"/>
      </w:r>
      <w:r>
        <w:rPr>
          <w:rStyle w:val="32"/>
        </w:rPr>
        <w:t>9.1  检验前过程的质量管理</w:t>
      </w:r>
      <w:r>
        <w:tab/>
      </w:r>
      <w:r>
        <w:fldChar w:fldCharType="begin"/>
      </w:r>
      <w:r>
        <w:instrText xml:space="preserve"> PAGEREF _Toc168996648 \h </w:instrText>
      </w:r>
      <w:r>
        <w:fldChar w:fldCharType="separate"/>
      </w:r>
      <w:r>
        <w:t>7</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"_Toc168996649" </w:instrText>
      </w:r>
      <w:r>
        <w:fldChar w:fldCharType="separate"/>
      </w:r>
      <w:r>
        <w:rPr>
          <w:rStyle w:val="32"/>
        </w:rPr>
        <w:t>9.1.1  编写发布《区域检验服务手册》</w:t>
      </w:r>
      <w:r>
        <w:tab/>
      </w:r>
      <w:r>
        <w:fldChar w:fldCharType="begin"/>
      </w:r>
      <w:r>
        <w:instrText xml:space="preserve"> PAGEREF _Toc168996649 \h </w:instrText>
      </w:r>
      <w:r>
        <w:fldChar w:fldCharType="separate"/>
      </w:r>
      <w:r>
        <w:t>7</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"_Toc168996650" </w:instrText>
      </w:r>
      <w:r>
        <w:fldChar w:fldCharType="separate"/>
      </w:r>
      <w:r>
        <w:rPr>
          <w:rStyle w:val="32"/>
        </w:rPr>
        <w:t>9.1.2  对临床医生指导的信息</w:t>
      </w:r>
      <w:r>
        <w:tab/>
      </w:r>
      <w:r>
        <w:fldChar w:fldCharType="begin"/>
      </w:r>
      <w:r>
        <w:instrText xml:space="preserve"> PAGEREF _Toc168996650 \h </w:instrText>
      </w:r>
      <w:r>
        <w:fldChar w:fldCharType="separate"/>
      </w:r>
      <w:r>
        <w:t>7</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"_Toc168996651" </w:instrText>
      </w:r>
      <w:r>
        <w:fldChar w:fldCharType="separate"/>
      </w:r>
      <w:r>
        <w:rPr>
          <w:rStyle w:val="32"/>
        </w:rPr>
        <w:t>9.1.3  对护理人员和检验人员指导的信息</w:t>
      </w:r>
      <w:r>
        <w:tab/>
      </w:r>
      <w:r>
        <w:fldChar w:fldCharType="begin"/>
      </w:r>
      <w:r>
        <w:instrText xml:space="preserve"> PAGEREF _Toc168996651 \h </w:instrText>
      </w:r>
      <w:r>
        <w:fldChar w:fldCharType="separate"/>
      </w:r>
      <w:r>
        <w:t>8</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"_Toc168996652" </w:instrText>
      </w:r>
      <w:r>
        <w:fldChar w:fldCharType="separate"/>
      </w:r>
      <w:r>
        <w:rPr>
          <w:rStyle w:val="32"/>
        </w:rPr>
        <w:t>9.1.4  对样本转运人员指导的信息</w:t>
      </w:r>
      <w:r>
        <w:tab/>
      </w:r>
      <w:r>
        <w:fldChar w:fldCharType="begin"/>
      </w:r>
      <w:r>
        <w:instrText xml:space="preserve"> PAGEREF _Toc168996652 \h </w:instrText>
      </w:r>
      <w:r>
        <w:fldChar w:fldCharType="separate"/>
      </w:r>
      <w:r>
        <w:t>8</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"_Toc168996653" </w:instrText>
      </w:r>
      <w:r>
        <w:fldChar w:fldCharType="separate"/>
      </w:r>
      <w:r>
        <w:rPr>
          <w:rStyle w:val="32"/>
        </w:rPr>
        <w:t>9.1.5  对受检者指导的信息</w:t>
      </w:r>
      <w:r>
        <w:tab/>
      </w:r>
      <w:r>
        <w:fldChar w:fldCharType="begin"/>
      </w:r>
      <w:r>
        <w:instrText xml:space="preserve"> PAGEREF _Toc168996653 \h </w:instrText>
      </w:r>
      <w:r>
        <w:fldChar w:fldCharType="separate"/>
      </w:r>
      <w:r>
        <w:t>8</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"_Toc168996654" </w:instrText>
      </w:r>
      <w:r>
        <w:fldChar w:fldCharType="separate"/>
      </w:r>
      <w:r>
        <w:rPr>
          <w:rStyle w:val="32"/>
        </w:rPr>
        <w:t>9.2  检验中过程的质量管理</w:t>
      </w:r>
      <w:r>
        <w:tab/>
      </w:r>
      <w:r>
        <w:fldChar w:fldCharType="begin"/>
      </w:r>
      <w:r>
        <w:instrText xml:space="preserve"> PAGEREF _Toc168996654 \h </w:instrText>
      </w:r>
      <w:r>
        <w:fldChar w:fldCharType="separate"/>
      </w:r>
      <w:r>
        <w:t>8</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"_Toc168996655" </w:instrText>
      </w:r>
      <w:r>
        <w:fldChar w:fldCharType="separate"/>
      </w:r>
      <w:r>
        <w:rPr>
          <w:rStyle w:val="32"/>
        </w:rPr>
        <w:t>9.2.1  室内质量控制</w:t>
      </w:r>
      <w:r>
        <w:tab/>
      </w:r>
      <w:r>
        <w:fldChar w:fldCharType="begin"/>
      </w:r>
      <w:r>
        <w:instrText xml:space="preserve"> PAGEREF _Toc168996655 \h </w:instrText>
      </w:r>
      <w:r>
        <w:fldChar w:fldCharType="separate"/>
      </w:r>
      <w:r>
        <w:t>8</w:t>
      </w:r>
      <w:r>
        <w:fldChar w:fldCharType="end"/>
      </w:r>
      <w:r>
        <w:fldChar w:fldCharType="end"/>
      </w:r>
    </w:p>
    <w:p>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"_Toc168996656" </w:instrText>
      </w:r>
      <w:r>
        <w:fldChar w:fldCharType="separate"/>
      </w:r>
      <w:r>
        <w:rPr>
          <w:rStyle w:val="32"/>
        </w:rPr>
        <w:t>9.2.1.1  质控物</w:t>
      </w:r>
      <w:r>
        <w:tab/>
      </w:r>
      <w:r>
        <w:fldChar w:fldCharType="begin"/>
      </w:r>
      <w:r>
        <w:instrText xml:space="preserve"> PAGEREF _Toc168996656 \h </w:instrText>
      </w:r>
      <w:r>
        <w:fldChar w:fldCharType="separate"/>
      </w:r>
      <w:r>
        <w:t>8</w:t>
      </w:r>
      <w:r>
        <w:fldChar w:fldCharType="end"/>
      </w:r>
      <w:r>
        <w:fldChar w:fldCharType="end"/>
      </w:r>
    </w:p>
    <w:p>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"_Toc168996657" </w:instrText>
      </w:r>
      <w:r>
        <w:fldChar w:fldCharType="separate"/>
      </w:r>
      <w:r>
        <w:rPr>
          <w:rStyle w:val="32"/>
        </w:rPr>
        <w:t>9.2.1.2  质控图的选择、绘制与应用</w:t>
      </w:r>
      <w:r>
        <w:tab/>
      </w:r>
      <w:r>
        <w:fldChar w:fldCharType="begin"/>
      </w:r>
      <w:r>
        <w:instrText xml:space="preserve"> PAGEREF _Toc168996657 \h </w:instrText>
      </w:r>
      <w:r>
        <w:fldChar w:fldCharType="separate"/>
      </w:r>
      <w:r>
        <w:t>8</w:t>
      </w:r>
      <w:r>
        <w:fldChar w:fldCharType="end"/>
      </w:r>
      <w:r>
        <w:fldChar w:fldCharType="end"/>
      </w:r>
    </w:p>
    <w:p>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"_Toc168996658" </w:instrText>
      </w:r>
      <w:r>
        <w:fldChar w:fldCharType="separate"/>
      </w:r>
      <w:r>
        <w:rPr>
          <w:rStyle w:val="32"/>
        </w:rPr>
        <w:t>9.2.1.3  质控数据的收集与记录</w:t>
      </w:r>
      <w:r>
        <w:tab/>
      </w:r>
      <w:r>
        <w:fldChar w:fldCharType="begin"/>
      </w:r>
      <w:r>
        <w:instrText xml:space="preserve"> PAGEREF _Toc168996658 \h </w:instrText>
      </w:r>
      <w:r>
        <w:fldChar w:fldCharType="separate"/>
      </w:r>
      <w:r>
        <w:t>8</w:t>
      </w:r>
      <w:r>
        <w:fldChar w:fldCharType="end"/>
      </w:r>
      <w:r>
        <w:fldChar w:fldCharType="end"/>
      </w:r>
    </w:p>
    <w:p>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"_Toc168996659" </w:instrText>
      </w:r>
      <w:r>
        <w:fldChar w:fldCharType="separate"/>
      </w:r>
      <w:r>
        <w:rPr>
          <w:rStyle w:val="32"/>
        </w:rPr>
        <w:t>9.2.1.4  失控处理及原因分析</w:t>
      </w:r>
      <w:r>
        <w:tab/>
      </w:r>
      <w:r>
        <w:fldChar w:fldCharType="begin"/>
      </w:r>
      <w:r>
        <w:instrText xml:space="preserve"> PAGEREF _Toc168996659 \h </w:instrText>
      </w:r>
      <w:r>
        <w:fldChar w:fldCharType="separate"/>
      </w:r>
      <w:r>
        <w:t>9</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"_Toc168996660" </w:instrText>
      </w:r>
      <w:r>
        <w:fldChar w:fldCharType="separate"/>
      </w:r>
      <w:r>
        <w:rPr>
          <w:rStyle w:val="32"/>
        </w:rPr>
        <w:t>9.2.2  室间质量评价</w:t>
      </w:r>
      <w:r>
        <w:tab/>
      </w:r>
      <w:r>
        <w:fldChar w:fldCharType="begin"/>
      </w:r>
      <w:r>
        <w:instrText xml:space="preserve"> PAGEREF _Toc168996660 \h </w:instrText>
      </w:r>
      <w:r>
        <w:fldChar w:fldCharType="separate"/>
      </w:r>
      <w:r>
        <w:t>9</w:t>
      </w:r>
      <w:r>
        <w:fldChar w:fldCharType="end"/>
      </w:r>
      <w:r>
        <w:fldChar w:fldCharType="end"/>
      </w:r>
    </w:p>
    <w:p>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"_Toc168996661" </w:instrText>
      </w:r>
      <w:r>
        <w:fldChar w:fldCharType="separate"/>
      </w:r>
      <w:r>
        <w:rPr>
          <w:rStyle w:val="32"/>
        </w:rPr>
        <w:t>9.3  检验后过程的质量管理</w:t>
      </w:r>
      <w:r>
        <w:tab/>
      </w:r>
      <w:r>
        <w:fldChar w:fldCharType="begin"/>
      </w:r>
      <w:r>
        <w:instrText xml:space="preserve"> PAGEREF _Toc168996661 \h </w:instrText>
      </w:r>
      <w:r>
        <w:fldChar w:fldCharType="separate"/>
      </w:r>
      <w:r>
        <w:t>9</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"_Toc168996662" </w:instrText>
      </w:r>
      <w:r>
        <w:fldChar w:fldCharType="separate"/>
      </w:r>
      <w:r>
        <w:rPr>
          <w:rStyle w:val="32"/>
        </w:rPr>
        <w:t>9.3.1  检验结果的审核</w:t>
      </w:r>
      <w:r>
        <w:tab/>
      </w:r>
      <w:r>
        <w:fldChar w:fldCharType="begin"/>
      </w:r>
      <w:r>
        <w:instrText xml:space="preserve"> PAGEREF _Toc168996662 \h </w:instrText>
      </w:r>
      <w:r>
        <w:fldChar w:fldCharType="separate"/>
      </w:r>
      <w:r>
        <w:t>9</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"_Toc168996663" </w:instrText>
      </w:r>
      <w:r>
        <w:fldChar w:fldCharType="separate"/>
      </w:r>
      <w:r>
        <w:rPr>
          <w:rStyle w:val="32"/>
        </w:rPr>
        <w:t>9.3.2  检验后样本的管理</w:t>
      </w:r>
      <w:r>
        <w:tab/>
      </w:r>
      <w:r>
        <w:fldChar w:fldCharType="begin"/>
      </w:r>
      <w:r>
        <w:instrText xml:space="preserve"> PAGEREF _Toc168996663 \h </w:instrText>
      </w:r>
      <w:r>
        <w:fldChar w:fldCharType="separate"/>
      </w:r>
      <w:r>
        <w:t>9</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"_Toc168996664" </w:instrText>
      </w:r>
      <w:r>
        <w:fldChar w:fldCharType="separate"/>
      </w:r>
      <w:r>
        <w:rPr>
          <w:rStyle w:val="32"/>
        </w:rPr>
        <w:t>9.3.3  结果报告与发布的管理</w:t>
      </w:r>
      <w:r>
        <w:tab/>
      </w:r>
      <w:r>
        <w:fldChar w:fldCharType="begin"/>
      </w:r>
      <w:r>
        <w:instrText xml:space="preserve"> PAGEREF _Toc168996664 \h </w:instrText>
      </w:r>
      <w:r>
        <w:fldChar w:fldCharType="separate"/>
      </w:r>
      <w:r>
        <w:t>9</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"_Toc168996665" </w:instrText>
      </w:r>
      <w:r>
        <w:fldChar w:fldCharType="separate"/>
      </w:r>
      <w:r>
        <w:rPr>
          <w:rStyle w:val="32"/>
        </w:rPr>
        <w:t>9.3.4  检验报告打印的管理</w:t>
      </w:r>
      <w:r>
        <w:tab/>
      </w:r>
      <w:r>
        <w:fldChar w:fldCharType="begin"/>
      </w:r>
      <w:r>
        <w:instrText xml:space="preserve"> PAGEREF _Toc168996665 \h </w:instrText>
      </w:r>
      <w:r>
        <w:fldChar w:fldCharType="separate"/>
      </w:r>
      <w:r>
        <w:t>9</w:t>
      </w:r>
      <w:r>
        <w:fldChar w:fldCharType="end"/>
      </w:r>
      <w:r>
        <w:fldChar w:fldCharType="end"/>
      </w:r>
    </w:p>
    <w:p>
      <w:pPr>
        <w:pStyle w:val="15"/>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"_Toc168996666" </w:instrText>
      </w:r>
      <w:r>
        <w:fldChar w:fldCharType="separate"/>
      </w:r>
      <w:r>
        <w:rPr>
          <w:rStyle w:val="32"/>
        </w:rPr>
        <w:t>9.3.5  检验结果沟通的管理</w:t>
      </w:r>
      <w:r>
        <w:tab/>
      </w:r>
      <w:r>
        <w:fldChar w:fldCharType="begin"/>
      </w:r>
      <w:r>
        <w:instrText xml:space="preserve"> PAGEREF _Toc168996666 \h </w:instrText>
      </w:r>
      <w:r>
        <w:fldChar w:fldCharType="separate"/>
      </w:r>
      <w:r>
        <w:t>9</w:t>
      </w:r>
      <w:r>
        <w:fldChar w:fldCharType="end"/>
      </w:r>
      <w:r>
        <w:fldChar w:fldCharType="end"/>
      </w:r>
    </w:p>
    <w:p>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"_Toc168996667" </w:instrText>
      </w:r>
      <w:r>
        <w:fldChar w:fldCharType="separate"/>
      </w:r>
      <w:r>
        <w:rPr>
          <w:rStyle w:val="32"/>
        </w:rPr>
        <w:t>参考文献</w:t>
      </w:r>
      <w:r>
        <w:tab/>
      </w:r>
      <w:r>
        <w:fldChar w:fldCharType="begin"/>
      </w:r>
      <w:r>
        <w:instrText xml:space="preserve"> PAGEREF _Toc168996667 \h </w:instrText>
      </w:r>
      <w:r>
        <w:fldChar w:fldCharType="separate"/>
      </w:r>
      <w:r>
        <w:t>10</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3" w:name="_Toc168996612"/>
      <w:bookmarkStart w:id="24" w:name="BookMark2"/>
      <w:r>
        <w:rPr>
          <w:spacing w:val="320"/>
        </w:rPr>
        <w:t>前</w:t>
      </w:r>
      <w:r>
        <w:t>言</w:t>
      </w:r>
      <w:bookmarkEnd w:id="22"/>
      <w:bookmarkEnd w:id="23"/>
    </w:p>
    <w:p>
      <w:pPr>
        <w:pStyle w:val="56"/>
        <w:ind w:firstLine="420"/>
      </w:pPr>
      <w:r>
        <w:rPr>
          <w:rFonts w:hint="eastAsia"/>
        </w:rPr>
        <w:t>本文件是DB32/T XXX《县级（区域）</w:t>
      </w:r>
      <w:r>
        <w:t>医疗资源</w:t>
      </w:r>
      <w:r>
        <w:rPr>
          <w:rFonts w:hint="eastAsia"/>
          <w:lang w:eastAsia="zh-CN"/>
        </w:rPr>
        <w:t>集中化运行</w:t>
      </w:r>
      <w:r>
        <w:rPr>
          <w:rFonts w:hint="eastAsia"/>
        </w:rPr>
        <w:t>规范》第7部分。DB32/T XXX已经发布了以下部分：</w:t>
      </w:r>
    </w:p>
    <w:p>
      <w:pPr>
        <w:pStyle w:val="56"/>
        <w:ind w:firstLine="420"/>
      </w:pPr>
      <w:r>
        <w:rPr>
          <w:rFonts w:hint="eastAsia"/>
        </w:rPr>
        <w:t>--第1部分：集中审方中心；</w:t>
      </w:r>
    </w:p>
    <w:p>
      <w:pPr>
        <w:pStyle w:val="56"/>
        <w:ind w:firstLine="420"/>
      </w:pPr>
      <w:r>
        <w:rPr>
          <w:rFonts w:hint="eastAsia"/>
        </w:rPr>
        <w:t>--第2部分：区域影像中心；</w:t>
      </w:r>
    </w:p>
    <w:p>
      <w:pPr>
        <w:pStyle w:val="56"/>
        <w:ind w:firstLine="420"/>
      </w:pPr>
      <w:r>
        <w:rPr>
          <w:rFonts w:hint="eastAsia"/>
        </w:rPr>
        <w:t>--第3部分：智慧急救中心；</w:t>
      </w:r>
    </w:p>
    <w:p>
      <w:pPr>
        <w:pStyle w:val="56"/>
        <w:ind w:firstLine="420"/>
      </w:pPr>
      <w:r>
        <w:rPr>
          <w:rFonts w:hint="eastAsia"/>
        </w:rPr>
        <w:t>--第4部分：远程会诊中心；</w:t>
      </w:r>
    </w:p>
    <w:p>
      <w:pPr>
        <w:pStyle w:val="56"/>
        <w:ind w:firstLine="420"/>
      </w:pPr>
      <w:r>
        <w:rPr>
          <w:rFonts w:hint="eastAsia"/>
        </w:rPr>
        <w:t>--第5部分：网络心电中心；</w:t>
      </w:r>
    </w:p>
    <w:p>
      <w:pPr>
        <w:pStyle w:val="56"/>
        <w:ind w:firstLine="420"/>
      </w:pPr>
      <w:r>
        <w:rPr>
          <w:rFonts w:hint="eastAsia"/>
        </w:rPr>
        <w:t>--第6部分：健康随访中心；</w:t>
      </w:r>
    </w:p>
    <w:p>
      <w:pPr>
        <w:pStyle w:val="56"/>
        <w:ind w:firstLine="420"/>
      </w:pPr>
      <w:r>
        <w:rPr>
          <w:rFonts w:hint="eastAsia"/>
        </w:rPr>
        <w:t>--第7部分：临床检验中心；</w:t>
      </w:r>
    </w:p>
    <w:p>
      <w:pPr>
        <w:pStyle w:val="56"/>
        <w:ind w:firstLine="420"/>
      </w:pPr>
      <w:r>
        <w:rPr>
          <w:rFonts w:hint="eastAsia"/>
        </w:rPr>
        <w:t>--第8部分：消毒供应中心。</w:t>
      </w:r>
    </w:p>
    <w:p>
      <w:pPr>
        <w:pStyle w:val="56"/>
        <w:ind w:firstLine="420"/>
        <w:rPr>
          <w:szCs w:val="21"/>
        </w:rPr>
      </w:pPr>
      <w:r>
        <w:rPr>
          <w:rFonts w:hint="eastAsia" w:hAnsi="宋体"/>
        </w:rPr>
        <w:t>请注意本文件的某些内容可能涉及专利。本文件的发布机构不承担识别专利的责任。</w:t>
      </w:r>
    </w:p>
    <w:p>
      <w:pPr>
        <w:pStyle w:val="56"/>
        <w:ind w:firstLine="420"/>
      </w:pPr>
      <w:r>
        <w:rPr>
          <w:rFonts w:hint="eastAsia"/>
        </w:rPr>
        <w:t>本文件由江苏省卫生健康委提出。</w:t>
      </w:r>
    </w:p>
    <w:p>
      <w:pPr>
        <w:pStyle w:val="56"/>
        <w:ind w:firstLine="420"/>
      </w:pPr>
      <w:r>
        <w:rPr>
          <w:rFonts w:hint="eastAsia"/>
        </w:rPr>
        <w:t>本文件由江苏省卫生标准化技术委员会归口。</w:t>
      </w:r>
    </w:p>
    <w:p>
      <w:pPr>
        <w:pStyle w:val="56"/>
        <w:ind w:firstLine="420"/>
      </w:pPr>
      <w:r>
        <w:rPr>
          <w:rFonts w:hint="eastAsia"/>
        </w:rPr>
        <w:t>本文件起草单位：东台市人民医院、盐城市第一人民医院、盐城市第三人民医院。</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本文件主要起草人：宣世海、吴李培、陈鑫、臧素纲、陈曦、邵可可、居会祥、孙明忠、林素平、韩亚琴、王伟、周丽、张薇、吴妍妍。</w:t>
      </w:r>
    </w:p>
    <w:bookmarkEnd w:id="24"/>
    <w:p>
      <w:pPr>
        <w:pStyle w:val="89"/>
        <w:spacing w:after="468"/>
      </w:pPr>
      <w:bookmarkStart w:id="25" w:name="_Toc168996613"/>
      <w:bookmarkStart w:id="26" w:name="BookMark3"/>
      <w:r>
        <w:rPr>
          <w:spacing w:val="320"/>
        </w:rPr>
        <w:t>引</w:t>
      </w:r>
      <w:r>
        <w:t>言</w:t>
      </w:r>
      <w:bookmarkEnd w:id="25"/>
    </w:p>
    <w:p>
      <w:pPr>
        <w:pStyle w:val="56"/>
        <w:ind w:firstLine="420"/>
        <w:rPr>
          <w:szCs w:val="21"/>
        </w:rPr>
      </w:pPr>
      <w:r>
        <w:rPr>
          <w:rFonts w:hint="eastAsia" w:hAnsi="宋体"/>
        </w:rPr>
        <w:t>县域紧密型医共体作为推进分级诊疗体系的重要抓手，普遍面临着多层级医疗资源配置不平衡、医疗服务能力不强、就医信息化程度滞后等问题。如何把县域内各医疗机构变为一个价值同向的共同体为目标。本文件为提升江苏省县级（区域）医疗资源</w:t>
      </w:r>
      <w:r>
        <w:rPr>
          <w:rFonts w:hint="eastAsia" w:hAnsi="宋体"/>
          <w:lang w:eastAsia="zh-CN"/>
        </w:rPr>
        <w:t>集中化运行</w:t>
      </w:r>
      <w:r>
        <w:rPr>
          <w:rFonts w:hint="eastAsia" w:hAnsi="宋体"/>
        </w:rPr>
        <w:t>规范，推动县域内各医疗机构成为一个价值同向的共同体的目标而制定。</w:t>
      </w:r>
    </w:p>
    <w:p>
      <w:pPr>
        <w:pStyle w:val="56"/>
        <w:ind w:firstLine="420"/>
      </w:pPr>
      <w:r>
        <w:rPr>
          <w:rFonts w:hint="eastAsia" w:hAnsi="宋体"/>
        </w:rPr>
        <w:t>DB32/T XXX《县级（区域）</w:t>
      </w:r>
      <w:r>
        <w:t>医疗资源</w:t>
      </w:r>
      <w:r>
        <w:rPr>
          <w:rFonts w:hint="eastAsia" w:hAnsi="宋体"/>
          <w:lang w:eastAsia="zh-CN"/>
        </w:rPr>
        <w:t>集中化运行</w:t>
      </w:r>
      <w:r>
        <w:rPr>
          <w:rFonts w:hint="eastAsia" w:hAnsi="宋体"/>
        </w:rPr>
        <w:t>规范》分为以下</w:t>
      </w:r>
      <w:r>
        <w:rPr>
          <w:rFonts w:hint="eastAsia" w:hAnsi="宋体"/>
          <w:lang w:val="en-US" w:eastAsia="zh-CN"/>
        </w:rPr>
        <w:t>8</w:t>
      </w:r>
      <w:bookmarkStart w:id="158" w:name="_GoBack"/>
      <w:bookmarkEnd w:id="158"/>
      <w:r>
        <w:rPr>
          <w:rFonts w:hint="eastAsia" w:hAnsi="宋体"/>
        </w:rPr>
        <w:t>个部分：</w:t>
      </w:r>
    </w:p>
    <w:p>
      <w:pPr>
        <w:pStyle w:val="56"/>
        <w:ind w:firstLine="420"/>
      </w:pPr>
      <w:r>
        <w:rPr>
          <w:rFonts w:hint="eastAsia" w:hAnsi="宋体"/>
        </w:rPr>
        <w:t>--第1部分：集中审方中心；</w:t>
      </w:r>
    </w:p>
    <w:p>
      <w:pPr>
        <w:pStyle w:val="56"/>
        <w:ind w:firstLine="420"/>
      </w:pPr>
      <w:r>
        <w:rPr>
          <w:rFonts w:hint="eastAsia" w:hAnsi="宋体"/>
        </w:rPr>
        <w:t>--第2部分：区域影像中心；</w:t>
      </w:r>
    </w:p>
    <w:p>
      <w:pPr>
        <w:pStyle w:val="56"/>
        <w:ind w:firstLine="420"/>
      </w:pPr>
      <w:r>
        <w:rPr>
          <w:rFonts w:hint="eastAsia" w:hAnsi="宋体"/>
        </w:rPr>
        <w:t>--第3部分：智慧急救中心；</w:t>
      </w:r>
    </w:p>
    <w:p>
      <w:pPr>
        <w:pStyle w:val="56"/>
        <w:ind w:firstLine="420"/>
      </w:pPr>
      <w:r>
        <w:rPr>
          <w:rFonts w:hint="eastAsia" w:hAnsi="宋体"/>
        </w:rPr>
        <w:t>--第4部分：远程会诊中心；</w:t>
      </w:r>
    </w:p>
    <w:p>
      <w:pPr>
        <w:pStyle w:val="56"/>
        <w:ind w:firstLine="420"/>
      </w:pPr>
      <w:r>
        <w:rPr>
          <w:rFonts w:hint="eastAsia" w:hAnsi="宋体"/>
        </w:rPr>
        <w:t>--第5部分：网络心电中心；</w:t>
      </w:r>
    </w:p>
    <w:p>
      <w:pPr>
        <w:pStyle w:val="56"/>
        <w:ind w:firstLine="420"/>
      </w:pPr>
      <w:r>
        <w:rPr>
          <w:rFonts w:hint="eastAsia" w:hAnsi="宋体"/>
        </w:rPr>
        <w:t>--第6部分：健康随访中心；</w:t>
      </w:r>
    </w:p>
    <w:p>
      <w:pPr>
        <w:pStyle w:val="56"/>
        <w:ind w:firstLine="420"/>
      </w:pPr>
      <w:r>
        <w:rPr>
          <w:rFonts w:hint="eastAsia" w:hAnsi="宋体"/>
        </w:rPr>
        <w:t>--第7部分：临床检验中心；</w:t>
      </w:r>
    </w:p>
    <w:p>
      <w:pPr>
        <w:pStyle w:val="56"/>
        <w:ind w:firstLine="420"/>
      </w:pPr>
      <w:r>
        <w:rPr>
          <w:rFonts w:hint="eastAsia" w:hAnsi="宋体"/>
        </w:rPr>
        <w:t>--第8部分：消毒供应中心。</w:t>
      </w:r>
    </w:p>
    <w:p>
      <w:pPr>
        <w:pStyle w:val="231"/>
        <w:ind w:firstLine="420" w:firstLineChars="200"/>
      </w:pPr>
      <w:r>
        <w:rPr>
          <w:rFonts w:hint="eastAsia"/>
        </w:rPr>
        <w:t>DB32/T XXX</w:t>
      </w:r>
      <w:r>
        <w:rPr>
          <w:rFonts w:hint="eastAsia" w:ascii="宋体" w:hAnsi="宋体"/>
        </w:rPr>
        <w:t>的制定是</w:t>
      </w:r>
      <w:r>
        <w:rPr>
          <w:rFonts w:hint="eastAsia" w:ascii="宋体" w:hAnsi="宋体" w:cs="Times New Roman"/>
        </w:rPr>
        <w:t>通过建设县级（区域）</w:t>
      </w:r>
      <w:r>
        <w:t>医疗资源</w:t>
      </w:r>
      <w:r>
        <w:rPr>
          <w:rFonts w:hint="eastAsia" w:hAnsi="宋体"/>
          <w:lang w:eastAsia="zh-CN"/>
        </w:rPr>
        <w:t>集中化运行</w:t>
      </w:r>
      <w:r>
        <w:rPr>
          <w:rFonts w:hint="eastAsia" w:hAnsi="宋体"/>
          <w:lang w:val="en-US" w:eastAsia="zh-CN"/>
        </w:rPr>
        <w:t>规范</w:t>
      </w:r>
      <w:r>
        <w:t>建设</w:t>
      </w:r>
      <w:r>
        <w:rPr>
          <w:rFonts w:hint="eastAsia" w:ascii="宋体" w:hAnsi="宋体" w:cs="Times New Roman"/>
        </w:rPr>
        <w:t>，依托于“互联网</w:t>
      </w:r>
      <w:r>
        <w:rPr>
          <w:rFonts w:hint="eastAsia"/>
        </w:rPr>
        <w:t>+</w:t>
      </w:r>
      <w:r>
        <w:rPr>
          <w:rFonts w:hint="eastAsia" w:ascii="宋体" w:hAnsi="宋体" w:cs="Times New Roman"/>
        </w:rPr>
        <w:t>”和智能化技术的信息系统，能够打破信息壁垒，提升县级（区域）医疗服务的协同性和一体化水平，以更好优化资源配置、改善患者就医体验。</w:t>
      </w:r>
    </w:p>
    <w:p>
      <w:pPr>
        <w:pStyle w:val="56"/>
        <w:ind w:firstLine="420"/>
      </w:pP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pPr>
        <w:spacing w:line="20" w:lineRule="exact"/>
        <w:jc w:val="center"/>
        <w:rPr>
          <w:rFonts w:hint="eastAsia" w:ascii="黑体" w:hAnsi="黑体" w:eastAsia="黑体"/>
          <w:sz w:val="32"/>
          <w:szCs w:val="32"/>
        </w:rPr>
      </w:pPr>
      <w:bookmarkStart w:id="27"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9BC2B0D9BFC84634AFFCA6B84C486B27"/>
        </w:placeholder>
      </w:sdtPr>
      <w:sdtContent>
        <w:p>
          <w:pPr>
            <w:pStyle w:val="177"/>
            <w:keepNext w:val="0"/>
            <w:keepLines w:val="0"/>
            <w:pageBreakBefore w:val="0"/>
            <w:widowControl/>
            <w:kinsoku/>
            <w:wordWrap/>
            <w:overflowPunct/>
            <w:topLinePunct w:val="0"/>
            <w:autoSpaceDE/>
            <w:autoSpaceDN/>
            <w:bidi w:val="0"/>
            <w:adjustRightInd/>
            <w:snapToGrid/>
            <w:spacing w:before="3" w:beforeLines="1" w:after="0"/>
            <w:textAlignment w:val="auto"/>
            <w:rPr>
              <w:rFonts w:hint="eastAsia"/>
            </w:rPr>
          </w:pPr>
          <w:bookmarkStart w:id="28" w:name="NEW_STAND_NAME"/>
          <w:r>
            <w:rPr>
              <w:rFonts w:hint="eastAsia"/>
            </w:rPr>
            <w:t>县级（区域）</w:t>
          </w:r>
          <w:r>
            <w:t>医疗资源</w:t>
          </w:r>
          <w:r>
            <w:rPr>
              <w:rFonts w:hint="eastAsia"/>
              <w:lang w:val="en-US" w:eastAsia="zh-CN"/>
            </w:rPr>
            <w:t>集中化运行</w:t>
          </w:r>
          <w:r>
            <w:rPr>
              <w:rFonts w:hint="eastAsia"/>
            </w:rPr>
            <w:t xml:space="preserve">规范 </w:t>
          </w:r>
        </w:p>
        <w:p>
          <w:pPr>
            <w:pStyle w:val="177"/>
            <w:keepNext w:val="0"/>
            <w:keepLines w:val="0"/>
            <w:pageBreakBefore w:val="0"/>
            <w:widowControl/>
            <w:kinsoku/>
            <w:wordWrap/>
            <w:overflowPunct/>
            <w:topLinePunct w:val="0"/>
            <w:autoSpaceDE/>
            <w:autoSpaceDN/>
            <w:bidi w:val="0"/>
            <w:adjustRightInd/>
            <w:snapToGrid/>
            <w:spacing w:before="3" w:beforeLines="1" w:after="0"/>
            <w:textAlignment w:val="auto"/>
            <w:rPr>
              <w:rFonts w:hint="eastAsia"/>
            </w:rPr>
          </w:pPr>
          <w:r>
            <w:rPr>
              <w:rFonts w:hint="eastAsia"/>
            </w:rPr>
            <w:t>第7部分：临床检验中心</w:t>
          </w:r>
        </w:p>
      </w:sdtContent>
    </w:sdt>
    <w:bookmarkEnd w:id="28"/>
    <w:p>
      <w:pPr>
        <w:pStyle w:val="104"/>
        <w:spacing w:before="312" w:after="312"/>
      </w:pPr>
      <w:bookmarkStart w:id="29" w:name="_Toc17233325"/>
      <w:bookmarkStart w:id="30" w:name="_Toc17233333"/>
      <w:bookmarkStart w:id="31" w:name="_Toc97191423"/>
      <w:bookmarkStart w:id="32" w:name="_Toc168996614"/>
      <w:bookmarkStart w:id="33" w:name="_Toc26986530"/>
      <w:bookmarkStart w:id="34" w:name="_Toc26718930"/>
      <w:bookmarkStart w:id="35" w:name="_Toc24884211"/>
      <w:bookmarkStart w:id="36" w:name="_Toc26648465"/>
      <w:bookmarkStart w:id="37" w:name="_Toc24884218"/>
      <w:bookmarkStart w:id="38" w:name="_Toc26986771"/>
      <w:bookmarkStart w:id="39" w:name="_Toc164166392"/>
      <w:r>
        <w:rPr>
          <w:rFonts w:hint="eastAsia"/>
        </w:rPr>
        <w:t>范围</w:t>
      </w:r>
      <w:bookmarkEnd w:id="29"/>
      <w:bookmarkEnd w:id="30"/>
      <w:bookmarkEnd w:id="31"/>
      <w:bookmarkEnd w:id="32"/>
      <w:bookmarkEnd w:id="33"/>
      <w:bookmarkEnd w:id="34"/>
      <w:bookmarkEnd w:id="35"/>
      <w:bookmarkEnd w:id="36"/>
      <w:bookmarkEnd w:id="37"/>
      <w:bookmarkEnd w:id="38"/>
      <w:bookmarkEnd w:id="39"/>
    </w:p>
    <w:p>
      <w:pPr>
        <w:pStyle w:val="56"/>
        <w:ind w:firstLine="420"/>
        <w:rPr>
          <w:szCs w:val="21"/>
        </w:rPr>
      </w:pPr>
      <w:r>
        <w:rPr>
          <w:rFonts w:hint="eastAsia" w:hAnsi="宋体"/>
        </w:rPr>
        <w:t>本文件规定了县级规模的医学检验中心的建设规范。</w:t>
      </w:r>
    </w:p>
    <w:p>
      <w:pPr>
        <w:pStyle w:val="56"/>
        <w:ind w:firstLine="420"/>
      </w:pPr>
      <w:r>
        <w:rPr>
          <w:rFonts w:hint="eastAsia" w:hAnsi="宋体"/>
        </w:rPr>
        <w:t>本文件适用于配置有</w:t>
      </w:r>
      <w:r>
        <w:rPr>
          <w:rFonts w:hAnsi="宋体"/>
        </w:rPr>
        <w:t>实验室信息系统</w:t>
      </w:r>
      <w:r>
        <w:rPr>
          <w:rFonts w:hint="eastAsia" w:hAnsi="宋体"/>
        </w:rPr>
        <w:t>（</w:t>
      </w:r>
      <w:r>
        <w:rPr>
          <w:rFonts w:hint="eastAsia"/>
        </w:rPr>
        <w:t>LIS</w:t>
      </w:r>
      <w:r>
        <w:rPr>
          <w:rFonts w:hint="eastAsia" w:hAnsi="宋体"/>
        </w:rPr>
        <w:t>）和冷链运输资质的县级区域医学检验中心新建、改建、扩建及监督检查。</w:t>
      </w:r>
    </w:p>
    <w:p>
      <w:pPr>
        <w:pStyle w:val="104"/>
        <w:spacing w:before="312" w:after="312"/>
      </w:pPr>
      <w:bookmarkStart w:id="40" w:name="_Toc26986772"/>
      <w:bookmarkStart w:id="41" w:name="_Toc26648466"/>
      <w:bookmarkStart w:id="42" w:name="_Toc26986531"/>
      <w:bookmarkStart w:id="43" w:name="_Toc17233326"/>
      <w:bookmarkStart w:id="44" w:name="_Toc26718931"/>
      <w:bookmarkStart w:id="45" w:name="_Toc164166393"/>
      <w:bookmarkStart w:id="46" w:name="_Toc168996615"/>
      <w:bookmarkStart w:id="47" w:name="_Toc97191424"/>
      <w:bookmarkStart w:id="48" w:name="_Toc17233334"/>
      <w:bookmarkStart w:id="49" w:name="_Toc24884212"/>
      <w:bookmarkStart w:id="50" w:name="_Toc24884219"/>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0E5D4F395976465EAD63A434206413B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ind w:firstLine="420" w:firstLineChars="200"/>
      </w:pPr>
      <w:r>
        <w:t xml:space="preserve">GB 50346-2011 </w:t>
      </w:r>
      <w:r>
        <w:rPr>
          <w:rFonts w:ascii="宋体" w:hAnsi="宋体"/>
        </w:rPr>
        <w:t>《生物安全实验室建筑技术规范》</w:t>
      </w:r>
    </w:p>
    <w:p>
      <w:pPr>
        <w:pStyle w:val="56"/>
        <w:ind w:firstLine="420"/>
      </w:pPr>
      <w:r>
        <w:rPr>
          <w:rFonts w:hint="eastAsia"/>
        </w:rPr>
        <w:t>《医学检验实验室基本标准和管理规范（试行）》 国卫医发〔2016〕37号 国家卫生计生委</w:t>
      </w:r>
    </w:p>
    <w:p>
      <w:pPr>
        <w:pStyle w:val="56"/>
        <w:ind w:firstLine="420"/>
      </w:pPr>
      <w:r>
        <w:rPr>
          <w:rFonts w:hint="eastAsia"/>
        </w:rPr>
        <w:t>《医疗机构临床实验室管理办法》 卫医发〔2006〕73号 中华人民共和国卫生部</w:t>
      </w:r>
    </w:p>
    <w:p>
      <w:pPr>
        <w:pStyle w:val="104"/>
        <w:spacing w:before="312" w:after="312"/>
        <w:rPr>
          <w:szCs w:val="21"/>
        </w:rPr>
      </w:pPr>
      <w:bookmarkStart w:id="51" w:name="_Toc168996616"/>
      <w:bookmarkStart w:id="52" w:name="_Toc97191425"/>
      <w:bookmarkStart w:id="53" w:name="_Toc164166394"/>
      <w:r>
        <w:rPr>
          <w:rFonts w:hint="eastAsia"/>
          <w:szCs w:val="21"/>
        </w:rPr>
        <w:t>术语和定义</w:t>
      </w:r>
      <w:bookmarkEnd w:id="51"/>
      <w:bookmarkEnd w:id="52"/>
      <w:bookmarkEnd w:id="53"/>
    </w:p>
    <w:sdt>
      <w:sdtPr>
        <w:id w:val="-1909835108"/>
        <w:placeholder>
          <w:docPart w:val="C82AD2F3DB434CC6A47974C998AB8A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4" w:name="_Toc26986532"/>
          <w:bookmarkEnd w:id="54"/>
          <w:r>
            <w:t>下列术语和定义适用于本</w:t>
          </w:r>
          <w:r>
            <w:rPr>
              <w:rFonts w:hint="eastAsia"/>
            </w:rPr>
            <w:t>标准</w:t>
          </w:r>
          <w:r>
            <w:t>。</w:t>
          </w:r>
        </w:p>
      </w:sdtContent>
    </w:sdt>
    <w:p>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区域医学检验中心 regional medical laboratory center</w:t>
      </w:r>
    </w:p>
    <w:p>
      <w:pPr>
        <w:pStyle w:val="56"/>
        <w:ind w:firstLine="420"/>
      </w:pPr>
      <w:r>
        <w:rPr>
          <w:rFonts w:hint="eastAsia"/>
        </w:rPr>
        <w:t>指运用先进的信息系统、物流系统在一定区域范围内建立为区域内各级医疗机构提供临床检测服务的医学检验实验室,区域内实现检验资源共享、检验质量同质化、检验服务标准化和检验结果互认。</w:t>
      </w:r>
    </w:p>
    <w:p>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医院信息系统 </w:t>
      </w:r>
      <w:r>
        <w:rPr>
          <w:rFonts w:ascii="黑体" w:hAnsi="黑体" w:eastAsia="黑体"/>
        </w:rPr>
        <w:t>hospital information system</w:t>
      </w:r>
    </w:p>
    <w:p>
      <w:pPr>
        <w:pStyle w:val="56"/>
        <w:ind w:firstLine="420"/>
      </w:pPr>
      <w:r>
        <w:rPr>
          <w:rFonts w:hint="eastAsia"/>
        </w:rPr>
        <w:t>指利用计算机软硬件技术和网络通信技术等现代化手段,对医院及其所属各部门的人流、物流、财流进行综合管理,对在医疗活动各阶段产生的数据进行采集、存储、处理、提取、传输、汇总、加工形成各种信息,从而为医院的整体运行提供全面的自动化管理及各种服务的信息系统。</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实验室信息系统 laboratory information system</w:t>
      </w:r>
    </w:p>
    <w:p>
      <w:pPr>
        <w:pStyle w:val="56"/>
        <w:ind w:firstLine="420"/>
      </w:pPr>
      <w:r>
        <w:rPr>
          <w:rFonts w:hint="eastAsia"/>
        </w:rPr>
        <w:t>将以数据库为核心的信息化技术与实验室管理需求相结合的信息化管理工具。LIS贯穿于检验前、检验中和检验后的全过程,是一类用于实验室管理和处理实验室过程信息的应用软件,一般涉及检验医嘱、条码打印、样本采集、运送、签收、检验任务分配、编号、核收、上机检测与检验设备数据通讯、与中间体系统数据交换、室内质控、复检、自动审核、结果报告与危急值传报整个检验过程,也包括了实验室人力资源管理、质量管理、仪器设备与试剂管理、环境管理、安全管理、信息管理以及统计报表等。</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质量管理系统 quality management system</w:t>
      </w:r>
    </w:p>
    <w:p>
      <w:pPr>
        <w:pStyle w:val="56"/>
        <w:ind w:firstLine="420"/>
      </w:pPr>
      <w:r>
        <w:rPr>
          <w:rFonts w:hint="eastAsia"/>
        </w:rPr>
        <w:t>指在质量方面指挥和控制组织的管理体系。质量管理体系是组织内部建立的、为实现质量目标所必需的、系统的质量管理模式,是组织的一项战略决策。</w:t>
      </w:r>
    </w:p>
    <w:p>
      <w:pPr>
        <w:pStyle w:val="104"/>
        <w:spacing w:before="312" w:after="312"/>
      </w:pPr>
      <w:bookmarkStart w:id="55" w:name="_Toc168996617"/>
      <w:bookmarkStart w:id="56" w:name="_Toc164166395"/>
      <w:r>
        <w:rPr>
          <w:rFonts w:hint="eastAsia"/>
        </w:rPr>
        <w:t>基本要求</w:t>
      </w:r>
      <w:bookmarkEnd w:id="55"/>
      <w:bookmarkEnd w:id="56"/>
    </w:p>
    <w:p>
      <w:pPr>
        <w:pStyle w:val="162"/>
      </w:pPr>
      <w:r>
        <w:rPr>
          <w:rFonts w:hint="eastAsia"/>
        </w:rPr>
        <w:t>各市、县（区）根据辖区面积、人口、地理特点、医疗资源配置等具体情况，由本级卫生健康委、县域医共体医院或其它牵头单位在本辖区或本医共体内组建区域医学检验中心（以下简称中心）。</w:t>
      </w:r>
    </w:p>
    <w:p>
      <w:pPr>
        <w:pStyle w:val="162"/>
      </w:pPr>
      <w:r>
        <w:t>中心主要管理人员应从事临床检验工作10年以上，并具有硕士以上临床医学学历或临床医学检验专业学历，有副高级以上专业技术职称；必须接受过专业和管理的双重教育和培训，具有良好的职业操守，廉洁自律，遵纪守法。</w:t>
      </w:r>
      <w:r>
        <w:rPr>
          <w:rFonts w:hint="eastAsia"/>
        </w:rPr>
        <w:t>，</w:t>
      </w:r>
    </w:p>
    <w:p>
      <w:pPr>
        <w:pStyle w:val="162"/>
      </w:pPr>
      <w:r>
        <w:t>中心管理层由县域医共体主体医院医学检验科主任、副主任、各专业组长及各成员单位检验科负责人组成。县域医共体主体医院医学检验科主任担任中心主任，质量负责人和技术负责人分别担任中心副主任，建立质量管理体系，对基层医院检验科进行质量、技术的指导和监督。</w:t>
      </w:r>
    </w:p>
    <w:p>
      <w:pPr>
        <w:pStyle w:val="162"/>
      </w:pPr>
      <w:r>
        <w:t>技术负责人应对中心所涉及的专业领域内的基本知识、检验技术有一定经验。主要职责是对实验室的运作和发展进行技术指导和管理，并提供相应资源（如物质资源、人力资源、信息资源等）。质量负责人应协助实验室负责人建立质量管理体系，负责起草相关质量文件，并监督各专业组能按照质量管理体系 有效运行；并定期实施内部审核，对影响质量的各种因素提出处理或改进意见；对员工进行培训；并对质控员或质控小组进行指导。</w:t>
      </w:r>
    </w:p>
    <w:p>
      <w:pPr>
        <w:pStyle w:val="162"/>
      </w:pPr>
      <w:r>
        <w:rPr>
          <w:rFonts w:hint="eastAsia"/>
        </w:rPr>
        <w:t>专业组组长需具备相应的资质和技术职称，并有一定的专业工作经验。具体职能包括本专业组日常管理工作；组织本专业组的检验工作；监督和指导本专业组工作人员能按操作规程操作，保证在规定时间内完成检验任务；并对本专业组员工遵守相关规章制度等有监督检查责任。</w:t>
      </w:r>
    </w:p>
    <w:p>
      <w:pPr>
        <w:pStyle w:val="104"/>
        <w:spacing w:before="312" w:after="312"/>
      </w:pPr>
      <w:bookmarkStart w:id="57" w:name="_Toc164166396"/>
      <w:bookmarkStart w:id="58" w:name="_Toc168996618"/>
      <w:r>
        <w:rPr>
          <w:rFonts w:hint="eastAsia"/>
        </w:rPr>
        <w:t>建筑设施</w:t>
      </w:r>
      <w:bookmarkEnd w:id="57"/>
      <w:bookmarkEnd w:id="58"/>
    </w:p>
    <w:p>
      <w:pPr>
        <w:pStyle w:val="105"/>
        <w:spacing w:before="156" w:after="156"/>
      </w:pPr>
      <w:bookmarkStart w:id="59" w:name="_Toc164166397"/>
      <w:bookmarkStart w:id="60" w:name="_Toc168996619"/>
      <w:r>
        <w:rPr>
          <w:rFonts w:hint="eastAsia"/>
        </w:rPr>
        <w:t>实验室设计</w:t>
      </w:r>
      <w:bookmarkEnd w:id="59"/>
      <w:bookmarkEnd w:id="60"/>
    </w:p>
    <w:p>
      <w:pPr>
        <w:pStyle w:val="56"/>
        <w:ind w:firstLine="420"/>
      </w:pPr>
      <w:r>
        <w:rPr>
          <w:rFonts w:hint="eastAsia"/>
        </w:rPr>
        <w:t>须有明确的定位和整体规划，合理分配实验室空间，综合考虑检测流程、人流物流、供电、给排水、通信、网络信息、通风空调、空气净化、房间压差、安全消防、三废处理等方面的因素。</w:t>
      </w:r>
    </w:p>
    <w:p>
      <w:pPr>
        <w:pStyle w:val="105"/>
        <w:spacing w:before="156" w:after="156"/>
      </w:pPr>
      <w:bookmarkStart w:id="61" w:name="_Toc168996620"/>
      <w:bookmarkStart w:id="62" w:name="_Toc164166398"/>
      <w:r>
        <w:rPr>
          <w:rFonts w:hint="eastAsia"/>
        </w:rPr>
        <w:t>规划布局</w:t>
      </w:r>
      <w:bookmarkEnd w:id="61"/>
      <w:bookmarkEnd w:id="62"/>
    </w:p>
    <w:p>
      <w:pPr>
        <w:pStyle w:val="165"/>
      </w:pPr>
      <w:r>
        <w:rPr>
          <w:rFonts w:hint="eastAsia"/>
        </w:rPr>
        <w:t>实验室选址应考虑满足正常检验流程的需求，有效利用空间、设备、人力资源，注意避开化学、生物、灰尘、强电磁场、辐射、噪声、振动等污染源及易燃易爆环境。</w:t>
      </w:r>
    </w:p>
    <w:p>
      <w:pPr>
        <w:pStyle w:val="165"/>
      </w:pPr>
      <w:r>
        <w:rPr>
          <w:rFonts w:hint="eastAsia"/>
        </w:rPr>
        <w:t>实验室建筑应为框架结构，具有较高的承重能力。单平层面积宜不少于1000m</w:t>
      </w:r>
      <w:r>
        <w:rPr>
          <w:rFonts w:hint="eastAsia"/>
          <w:vertAlign w:val="superscript"/>
        </w:rPr>
        <w:t>2</w:t>
      </w:r>
      <w:r>
        <w:rPr>
          <w:rFonts w:hint="eastAsia"/>
        </w:rPr>
        <w:t>，形状相对规整，以利于大型检测仪器的放置，以及根据工作需要进行区域灵活分割。</w:t>
      </w:r>
    </w:p>
    <w:p>
      <w:pPr>
        <w:pStyle w:val="165"/>
      </w:pPr>
      <w:r>
        <w:rPr>
          <w:rFonts w:hint="eastAsia"/>
        </w:rPr>
        <w:t>实验室业务用房使用面积不少于总面积的75%。需配备一定面积用于不间断电源（UPS）、水处理、空调与通风、污物处理、文件资料及试剂耗材存储、更衣、办公等配套设施用房。</w:t>
      </w:r>
    </w:p>
    <w:p>
      <w:pPr>
        <w:pStyle w:val="165"/>
      </w:pPr>
      <w:r>
        <w:rPr>
          <w:rFonts w:hint="eastAsia"/>
        </w:rPr>
        <w:t>如需提供采集原始样品的设施，应在尽量优化样品采集条件的同时应配备一定面积用于受检者等候，考虑受检者的行动能力、舒适度和隐私。</w:t>
      </w:r>
    </w:p>
    <w:p>
      <w:pPr>
        <w:pStyle w:val="105"/>
        <w:spacing w:before="156" w:after="156"/>
      </w:pPr>
      <w:bookmarkStart w:id="63" w:name="_Toc164166399"/>
      <w:bookmarkStart w:id="64" w:name="_Toc168996621"/>
      <w:r>
        <w:rPr>
          <w:rFonts w:hint="eastAsia"/>
        </w:rPr>
        <w:t>区域划分</w:t>
      </w:r>
      <w:bookmarkEnd w:id="63"/>
      <w:bookmarkEnd w:id="64"/>
    </w:p>
    <w:p>
      <w:pPr>
        <w:pStyle w:val="56"/>
        <w:ind w:firstLine="420"/>
      </w:pPr>
      <w:r>
        <w:rPr>
          <w:rFonts w:hint="eastAsia"/>
        </w:rPr>
        <w:t>应按照生物安全要求，结合专业特点、功能要求、工作流程、仪器设备、建筑条件等进行区域划分，保证分区明确、路线清晰、使用高效。</w:t>
      </w:r>
    </w:p>
    <w:p>
      <w:pPr>
        <w:pStyle w:val="105"/>
        <w:spacing w:before="156" w:after="156"/>
      </w:pPr>
      <w:bookmarkStart w:id="65" w:name="_Toc168996622"/>
      <w:bookmarkStart w:id="66" w:name="_Toc164166400"/>
      <w:r>
        <w:rPr>
          <w:rFonts w:hint="eastAsia"/>
        </w:rPr>
        <w:t>实验室通风排风系统</w:t>
      </w:r>
      <w:bookmarkEnd w:id="65"/>
      <w:bookmarkEnd w:id="66"/>
    </w:p>
    <w:p>
      <w:pPr>
        <w:pStyle w:val="165"/>
      </w:pPr>
      <w:r>
        <w:rPr>
          <w:rFonts w:hint="eastAsia"/>
        </w:rPr>
        <w:t>实验室应根据操作对象的危害程度、平面布置等情况进行实验室整体气流设计，采取有效措施避免污染和交叉污染。</w:t>
      </w:r>
    </w:p>
    <w:p>
      <w:pPr>
        <w:pStyle w:val="165"/>
      </w:pPr>
      <w:r>
        <w:rPr>
          <w:rFonts w:hint="eastAsia"/>
        </w:rPr>
        <w:t>实验室空调净化系统的设计应充分考虑生物安全柜、离心机、培养箱、冰箱、高压灭菌器、检测仪器等设备的冷、热、湿和污染负荷。</w:t>
      </w:r>
    </w:p>
    <w:p>
      <w:pPr>
        <w:pStyle w:val="165"/>
      </w:pPr>
      <w:r>
        <w:rPr>
          <w:rFonts w:hint="eastAsia"/>
        </w:rPr>
        <w:t>应从仪器、试剂、耗材以及工作人员的舒适度等方面综合考虑，制定实验室适合的温度和湿度控制范围，一般建议室内温度控制在20-24℃，湿度45%-60%。</w:t>
      </w:r>
    </w:p>
    <w:p>
      <w:pPr>
        <w:pStyle w:val="105"/>
        <w:spacing w:before="156" w:after="156"/>
      </w:pPr>
      <w:bookmarkStart w:id="67" w:name="_Toc164166401"/>
      <w:bookmarkStart w:id="68" w:name="_Toc168996623"/>
      <w:r>
        <w:rPr>
          <w:rFonts w:hint="eastAsia"/>
        </w:rPr>
        <w:t>实验室用电</w:t>
      </w:r>
      <w:bookmarkEnd w:id="67"/>
      <w:bookmarkEnd w:id="68"/>
    </w:p>
    <w:p>
      <w:pPr>
        <w:pStyle w:val="165"/>
      </w:pPr>
      <w:r>
        <w:rPr>
          <w:rFonts w:hint="eastAsia"/>
        </w:rPr>
        <w:t>实验室对用电的布线、供电方式、实验仪器功率的大小及摆放位置电线的容量、用电安全及防静电措施等要进行总体设计，确保实验室仪器设备用电安全。</w:t>
      </w:r>
    </w:p>
    <w:p>
      <w:pPr>
        <w:pStyle w:val="165"/>
      </w:pPr>
      <w:r>
        <w:rPr>
          <w:rFonts w:hint="eastAsia"/>
        </w:rPr>
        <w:t>实验室可根据实际情况和仪器要求配置不间断电源（UPS）和（或）双路电源以保证关键设备（如需要控制温度和连续监测的分析仪、培养箱、冰箱、实验室信息系统（LIS）服务器和数据处理有关的计算机等）的正常工作，并定期放电维护。</w:t>
      </w:r>
    </w:p>
    <w:p>
      <w:pPr>
        <w:pStyle w:val="165"/>
      </w:pPr>
      <w:r>
        <w:rPr>
          <w:rFonts w:hint="eastAsia"/>
        </w:rPr>
        <w:t>实验室的照明设备一般以发光二极管灯为宜。</w:t>
      </w:r>
    </w:p>
    <w:p>
      <w:pPr>
        <w:pStyle w:val="105"/>
        <w:spacing w:before="156" w:after="156"/>
      </w:pPr>
      <w:bookmarkStart w:id="69" w:name="_Toc164166402"/>
      <w:bookmarkStart w:id="70" w:name="_Toc168996624"/>
      <w:r>
        <w:rPr>
          <w:rFonts w:hint="eastAsia"/>
        </w:rPr>
        <w:t>实验室给排水系统</w:t>
      </w:r>
      <w:bookmarkEnd w:id="69"/>
      <w:bookmarkEnd w:id="70"/>
    </w:p>
    <w:p>
      <w:pPr>
        <w:pStyle w:val="165"/>
      </w:pPr>
      <w:r>
        <w:rPr>
          <w:rFonts w:hint="eastAsia"/>
        </w:rPr>
        <w:t>实验室给水水量、水质和水压应能满足工作要求。除了实验和日常的基本用水以外，还要考虑消防设施给水。内部给水管道应布置合理，便于维护。</w:t>
      </w:r>
    </w:p>
    <w:p>
      <w:pPr>
        <w:pStyle w:val="165"/>
      </w:pPr>
      <w:r>
        <w:rPr>
          <w:rFonts w:hint="eastAsia"/>
        </w:rPr>
        <w:t>实验室排水系统应根据相应的排出废水的性质、成分和受污程度来进行设置。有害物质的排放符合相应的国家标准。实验室排水应与生活区排水分开，应确保所有可能接触到样本及潜在生物危害污染物的排水进人医疗机构的污水处理站。</w:t>
      </w:r>
    </w:p>
    <w:p>
      <w:pPr>
        <w:pStyle w:val="105"/>
        <w:spacing w:before="156" w:after="156"/>
      </w:pPr>
      <w:bookmarkStart w:id="71" w:name="_Toc164166403"/>
      <w:bookmarkStart w:id="72" w:name="_Toc168996625"/>
      <w:r>
        <w:rPr>
          <w:rFonts w:hint="eastAsia"/>
        </w:rPr>
        <w:t>实验室装修</w:t>
      </w:r>
      <w:bookmarkEnd w:id="71"/>
      <w:bookmarkEnd w:id="72"/>
    </w:p>
    <w:p>
      <w:pPr>
        <w:pStyle w:val="165"/>
      </w:pPr>
      <w:r>
        <w:rPr>
          <w:rFonts w:hint="eastAsia"/>
        </w:rPr>
        <w:t>实验室地面使用耐磨，起尘、易清洁，不易反光、耐冲击、防水、防菌和防霉的材料，保证地面平整防滑，有良好的耐久性、缓冲性和抗腐蚀性。清洗间、水处理间等用水房间，可采用地砖等材料。</w:t>
      </w:r>
    </w:p>
    <w:p>
      <w:pPr>
        <w:pStyle w:val="165"/>
      </w:pPr>
      <w:r>
        <w:rPr>
          <w:rFonts w:hint="eastAsia"/>
        </w:rPr>
        <w:t>实验室墙面要求易于清洗消毒、耐擦洗、不起尘、不开裂光滑防水、密封性能良好，有一定的隔音和吸声性能，使用材料应无毒无放射性、防火耐腐蚀、不渗水。</w:t>
      </w:r>
    </w:p>
    <w:p>
      <w:pPr>
        <w:pStyle w:val="165"/>
      </w:pPr>
      <w:r>
        <w:rPr>
          <w:rFonts w:hint="eastAsia"/>
        </w:rPr>
        <w:t>实验室顶材料应防火、不起尘、不易霉变、不易变形，并且应无毒、无放射性，密封性能良好，有一定的隔音、吸声性能。</w:t>
      </w:r>
    </w:p>
    <w:p>
      <w:pPr>
        <w:pStyle w:val="165"/>
      </w:pPr>
      <w:r>
        <w:rPr>
          <w:rFonts w:hint="eastAsia"/>
        </w:rPr>
        <w:t>与外部区域相连的门应设置门禁系统。实验室主入口的门和放置生物安全柜实验间的门应能自动关闭，门上宜设观察窗，并带门锁和闭器，开启方向不妨碍逃生。</w:t>
      </w:r>
    </w:p>
    <w:p>
      <w:pPr>
        <w:pStyle w:val="165"/>
      </w:pPr>
      <w:r>
        <w:rPr>
          <w:rFonts w:hint="eastAsia"/>
        </w:rPr>
        <w:t>实验室的窗应处于关闭状态。必要时安装遮光窗帘，以避免不必要的反光和强光干扰。</w:t>
      </w:r>
    </w:p>
    <w:p>
      <w:pPr>
        <w:pStyle w:val="165"/>
      </w:pPr>
      <w:r>
        <w:rPr>
          <w:rFonts w:hint="eastAsia"/>
        </w:rPr>
        <w:t>实验室应有足够的空间和台柜等摆放实验室设备与物品。实验室台柜和其摆放应便于清洁，实验台面应防水耐腐蚀、耐热和坚固。</w:t>
      </w:r>
    </w:p>
    <w:p>
      <w:pPr>
        <w:pStyle w:val="165"/>
      </w:pPr>
      <w:r>
        <w:rPr>
          <w:rFonts w:hint="eastAsia"/>
        </w:rPr>
        <w:t>实验室在出口处应设有非手触式洗手装置。</w:t>
      </w:r>
    </w:p>
    <w:p>
      <w:pPr>
        <w:pStyle w:val="105"/>
        <w:spacing w:before="156" w:after="156"/>
      </w:pPr>
      <w:bookmarkStart w:id="73" w:name="_Toc164166404"/>
      <w:bookmarkStart w:id="74" w:name="_Toc168996626"/>
      <w:r>
        <w:rPr>
          <w:rFonts w:hint="eastAsia"/>
        </w:rPr>
        <w:t>实验室安全设施</w:t>
      </w:r>
      <w:bookmarkEnd w:id="73"/>
      <w:bookmarkEnd w:id="74"/>
    </w:p>
    <w:p>
      <w:pPr>
        <w:pStyle w:val="165"/>
      </w:pPr>
      <w:r>
        <w:rPr>
          <w:rFonts w:hint="eastAsia"/>
        </w:rPr>
        <w:t>建议在对外窗口及主要检测区域设置监控录像。保存菌株的冰箱和保存危险化学品的区域也应设置监控录像。</w:t>
      </w:r>
    </w:p>
    <w:p>
      <w:pPr>
        <w:pStyle w:val="165"/>
      </w:pPr>
      <w:r>
        <w:rPr>
          <w:rFonts w:hint="eastAsia"/>
        </w:rPr>
        <w:t>工作区域内应配置紧急冲眼装置，至少配置1处紧急冲淋装置。</w:t>
      </w:r>
    </w:p>
    <w:p>
      <w:pPr>
        <w:pStyle w:val="165"/>
      </w:pPr>
      <w:r>
        <w:rPr>
          <w:rFonts w:hint="eastAsia"/>
        </w:rPr>
        <w:t>根据消防等要求设置烟雾探测报警系统、灭火装置/设备和紧急照明设备。</w:t>
      </w:r>
    </w:p>
    <w:p>
      <w:pPr>
        <w:pStyle w:val="165"/>
      </w:pPr>
      <w:r>
        <w:rPr>
          <w:rFonts w:hint="eastAsia"/>
        </w:rPr>
        <w:t>应配备适用的应急器材，如消防器材意外事故处理器材、急救器材等。</w:t>
      </w:r>
    </w:p>
    <w:p>
      <w:pPr>
        <w:pStyle w:val="165"/>
      </w:pPr>
      <w:r>
        <w:rPr>
          <w:rFonts w:hint="eastAsia"/>
        </w:rPr>
        <w:t>必要时，应配备适用的通讯设备，如固定电话对讲机等。</w:t>
      </w:r>
    </w:p>
    <w:p>
      <w:pPr>
        <w:pStyle w:val="165"/>
      </w:pPr>
      <w:r>
        <w:rPr>
          <w:rFonts w:hint="eastAsia"/>
        </w:rPr>
        <w:t>实验室工作区域应配备适当的消毒设备，空气消毒可使用紫外线灯（注意安装的高度和定时开关）或带循环风的空气消毒设备（如臭氧发生器风循环）。</w:t>
      </w:r>
    </w:p>
    <w:p>
      <w:pPr>
        <w:pStyle w:val="165"/>
      </w:pPr>
      <w:r>
        <w:rPr>
          <w:rFonts w:hint="eastAsia"/>
        </w:rPr>
        <w:t>在安全出口、疏散通道等处应安装疏散指示灯，疏散人员能在紧急事故情况下得以迅速撤离。</w:t>
      </w:r>
    </w:p>
    <w:p>
      <w:pPr>
        <w:pStyle w:val="104"/>
        <w:spacing w:before="312" w:after="312"/>
      </w:pPr>
      <w:bookmarkStart w:id="75" w:name="_Toc164166405"/>
      <w:bookmarkStart w:id="76" w:name="_Toc168996627"/>
      <w:r>
        <w:rPr>
          <w:rFonts w:hint="eastAsia"/>
        </w:rPr>
        <w:t>仪器设备</w:t>
      </w:r>
      <w:bookmarkEnd w:id="75"/>
      <w:bookmarkEnd w:id="76"/>
    </w:p>
    <w:p>
      <w:pPr>
        <w:pStyle w:val="162"/>
      </w:pPr>
      <w:r>
        <w:rPr>
          <w:rFonts w:hint="eastAsia"/>
        </w:rPr>
        <w:t>基本设备主要包括医用离心机、温控设备（普通冰箱、低温冰箱、电热恒温培养箱、电热恒温水浴锅等）、显微镜、加样设备（加样器、移液枪等）、消毒设备、纯水机、温湿度、生物安全柜等，应与所开展的检验项目和工作量相适应。</w:t>
      </w:r>
    </w:p>
    <w:p>
      <w:pPr>
        <w:pStyle w:val="162"/>
      </w:pPr>
      <w:r>
        <w:rPr>
          <w:rFonts w:hint="eastAsia"/>
        </w:rPr>
        <w:t>专用仪器设备主要包括血液检验仪器（血细胞分析仪、红细胞沉降率测定仪、凝血分析仪、血型分析仪等）、体液检验仪器（尿液干化学分析仪、尿液有形成分分析仪等）、生化检验仪器（全自动生化分析仪、干式化学分析仪、电解质分析仪、血气分析仪、电泳仪、糖化血红蛋白分析仪等）、免疫检验仪器（发光免疫分析仪、免疫比浊仪、酶标仪、洗板机、流式细胞仪等）、微生物检验仪器（全自动血培养仪、自动化微生物鉴定药敏分析仪、质谱鉴定仪等）、分子生物学检验仪器（PCR仪、核酸提取仪、测序仪等）等。所用仪器设备应与所开展的检验项目和工作量相适应，并符合国家相关行政部门的医疗器械管理要求。</w:t>
      </w:r>
    </w:p>
    <w:p>
      <w:pPr>
        <w:pStyle w:val="162"/>
      </w:pPr>
      <w:r>
        <w:rPr>
          <w:rFonts w:hint="eastAsia"/>
        </w:rPr>
        <w:t>为提高检验工作效率，实验室除基本设备和专用仪器设备外，还可选用实验室自动化系统（LAS）又称为自动化检验流水线，由样本传送系统、样本前处理系统、分析检测系统、分析后输出系统和分析测试过程控制系统组成。</w:t>
      </w:r>
    </w:p>
    <w:p>
      <w:pPr>
        <w:pStyle w:val="162"/>
      </w:pPr>
      <w:r>
        <w:rPr>
          <w:rFonts w:hint="eastAsia"/>
        </w:rPr>
        <w:t>新购进的仪器设备应在设安装和使用前验证其能够达到必要的性能，并符合相关检验的要求，在投入工作前应校准或核查，以证实其能够满足检验科的规范要求和相应的标准规范。</w:t>
      </w:r>
    </w:p>
    <w:p>
      <w:pPr>
        <w:pStyle w:val="162"/>
      </w:pPr>
      <w:r>
        <w:rPr>
          <w:rFonts w:hint="eastAsia"/>
        </w:rPr>
        <w:t>实验室应按照制造商的说明书制定仪器设备SOP文件。操作人员必须经过培训，考核合格后经授权进行操作，并及时记录仪器设备的使用、故障和维修情况。</w:t>
      </w:r>
    </w:p>
    <w:p>
      <w:pPr>
        <w:pStyle w:val="162"/>
      </w:pPr>
      <w:r>
        <w:rPr>
          <w:rFonts w:hint="eastAsia"/>
        </w:rPr>
        <w:t>实验室应制订仪器设备的检定/校准计划，用于监测并证实所用仪器设备已进行检定/校准，并处于正常功能状态，满足检测工作需求。</w:t>
      </w:r>
    </w:p>
    <w:p>
      <w:pPr>
        <w:pStyle w:val="162"/>
      </w:pPr>
      <w:r>
        <w:rPr>
          <w:rFonts w:hint="eastAsia"/>
        </w:rPr>
        <w:t>实验室必须根据仪器设备制造商提供的建议或者行业规范要求进行设备维修和保养，并记录仪器设备的状态、使用情况、维修和保养情况。</w:t>
      </w:r>
    </w:p>
    <w:p>
      <w:pPr>
        <w:pStyle w:val="162"/>
      </w:pPr>
      <w:r>
        <w:rPr>
          <w:rFonts w:hint="eastAsia"/>
        </w:rPr>
        <w:t>故障仪器设备维修后，需对其进行校验或性能检查，各项技术参数及性能恢复正常可重新投入使用。如仪器设备因陈旧、维修后各项性能不能满足要求时，需对该仪器设备进行无害化处理后报废处置，并及时更新仪器设备。</w:t>
      </w:r>
    </w:p>
    <w:p>
      <w:pPr>
        <w:pStyle w:val="162"/>
      </w:pPr>
      <w:r>
        <w:rPr>
          <w:rFonts w:hint="eastAsia"/>
        </w:rPr>
        <w:t>实验室应建立和保存每台仪器设备及其软件的档案记录，档案记录要齐全。</w:t>
      </w:r>
    </w:p>
    <w:p>
      <w:pPr>
        <w:pStyle w:val="104"/>
        <w:spacing w:before="312" w:after="312"/>
      </w:pPr>
      <w:bookmarkStart w:id="77" w:name="_Toc164166406"/>
      <w:bookmarkStart w:id="78" w:name="_Toc168996628"/>
      <w:r>
        <w:rPr>
          <w:rFonts w:hint="eastAsia"/>
        </w:rPr>
        <w:t>信息管理</w:t>
      </w:r>
      <w:bookmarkEnd w:id="77"/>
      <w:bookmarkEnd w:id="78"/>
    </w:p>
    <w:p>
      <w:pPr>
        <w:pStyle w:val="105"/>
        <w:spacing w:before="156" w:after="156"/>
      </w:pPr>
      <w:bookmarkStart w:id="79" w:name="_Toc168996629"/>
      <w:bookmarkStart w:id="80" w:name="_Toc164166407"/>
      <w:r>
        <w:rPr>
          <w:rFonts w:hint="eastAsia"/>
        </w:rPr>
        <w:t>区域信息平台主要建设内容</w:t>
      </w:r>
      <w:bookmarkEnd w:id="79"/>
      <w:bookmarkEnd w:id="80"/>
    </w:p>
    <w:p>
      <w:pPr>
        <w:pStyle w:val="56"/>
        <w:ind w:firstLine="420"/>
      </w:pPr>
      <w:r>
        <w:rPr>
          <w:rFonts w:hint="eastAsia"/>
        </w:rPr>
        <w:t>包含区域检验数据中心、数据交换平台；区域中心实验室LIS、各级医院LIS、基层医疗机构LIS；协同检验申请、报告、样本物流、结算等平台，委托外送检验平台；区域检验结果互认与共享平台；区域危急值提醒通知平台；检验结果推送与服务平台；自助检验平台；区域检验质量控制与评价平台；区域试剂及耗材管理平台等。</w:t>
      </w:r>
    </w:p>
    <w:p>
      <w:pPr>
        <w:pStyle w:val="105"/>
        <w:spacing w:before="156" w:after="156"/>
      </w:pPr>
      <w:bookmarkStart w:id="81" w:name="_Toc168996630"/>
      <w:bookmarkStart w:id="82" w:name="_Toc164166408"/>
      <w:r>
        <w:rPr>
          <w:rFonts w:hint="eastAsia"/>
        </w:rPr>
        <w:t>区域医学检验中心LIS应用</w:t>
      </w:r>
      <w:bookmarkEnd w:id="81"/>
      <w:bookmarkEnd w:id="82"/>
    </w:p>
    <w:p>
      <w:pPr>
        <w:pStyle w:val="65"/>
        <w:spacing w:before="156" w:after="156"/>
      </w:pPr>
      <w:bookmarkStart w:id="83" w:name="_Toc168996631"/>
      <w:bookmarkStart w:id="84" w:name="_Toc164166409"/>
      <w:r>
        <w:rPr>
          <w:rFonts w:hint="eastAsia"/>
        </w:rPr>
        <w:t>实验室内部信息系统</w:t>
      </w:r>
      <w:bookmarkEnd w:id="83"/>
      <w:bookmarkEnd w:id="84"/>
    </w:p>
    <w:p>
      <w:pPr>
        <w:pStyle w:val="56"/>
        <w:ind w:firstLine="420"/>
      </w:pPr>
      <w:r>
        <w:rPr>
          <w:rFonts w:hint="eastAsia"/>
        </w:rPr>
        <w:t>包括样本签收与分发样本核收、检验前处理、仪器通讯系统、与流水线系统数据交换、检验结果浏览及处理、危急值判断与提醒、报告审核与发布、室内质量控制等系统、检验进度跟踪、试剂耗材管理、科室管理、成本效益分析等。</w:t>
      </w:r>
    </w:p>
    <w:p>
      <w:pPr>
        <w:pStyle w:val="65"/>
        <w:spacing w:before="156" w:after="156"/>
      </w:pPr>
      <w:bookmarkStart w:id="85" w:name="_Toc164166410"/>
      <w:bookmarkStart w:id="86" w:name="_Toc168996632"/>
      <w:r>
        <w:rPr>
          <w:rFonts w:hint="eastAsia"/>
        </w:rPr>
        <w:t>临床科室与检验有关的系统信息化对接</w:t>
      </w:r>
      <w:bookmarkEnd w:id="85"/>
      <w:bookmarkEnd w:id="86"/>
    </w:p>
    <w:p>
      <w:pPr>
        <w:pStyle w:val="56"/>
        <w:ind w:firstLine="420"/>
      </w:pPr>
      <w:r>
        <w:rPr>
          <w:rFonts w:hint="eastAsia"/>
        </w:rPr>
        <w:t>实现检验医嘱电子化申请、住院检验计费确认、门诊交费验证样本采集与递送、检验结果浏览与打印，危急值提醒与处理、电子病历、自助云检验等功能。</w:t>
      </w:r>
    </w:p>
    <w:p>
      <w:pPr>
        <w:pStyle w:val="65"/>
        <w:spacing w:before="156" w:after="156"/>
      </w:pPr>
      <w:bookmarkStart w:id="87" w:name="_Toc164166411"/>
      <w:bookmarkStart w:id="88" w:name="_Toc168996633"/>
      <w:r>
        <w:rPr>
          <w:rFonts w:hint="eastAsia"/>
        </w:rPr>
        <w:t>与各区域化平台接口对接</w:t>
      </w:r>
      <w:bookmarkEnd w:id="87"/>
      <w:bookmarkEnd w:id="88"/>
    </w:p>
    <w:p>
      <w:pPr>
        <w:pStyle w:val="56"/>
        <w:ind w:firstLine="420"/>
      </w:pPr>
      <w:r>
        <w:rPr>
          <w:rFonts w:hint="eastAsia"/>
        </w:rPr>
        <w:t>构建区域健康平台、区域协同平台、区域质控平台、区域互认与共享平台、区域危急值平台等。</w:t>
      </w:r>
    </w:p>
    <w:p>
      <w:pPr>
        <w:pStyle w:val="65"/>
        <w:spacing w:before="156" w:after="156"/>
      </w:pPr>
      <w:bookmarkStart w:id="89" w:name="_Toc164166412"/>
      <w:bookmarkStart w:id="90" w:name="_Toc168996634"/>
      <w:r>
        <w:rPr>
          <w:rFonts w:hint="eastAsia"/>
        </w:rPr>
        <w:t>与第三方实验室系统互联</w:t>
      </w:r>
      <w:bookmarkEnd w:id="89"/>
      <w:bookmarkEnd w:id="90"/>
    </w:p>
    <w:p>
      <w:pPr>
        <w:pStyle w:val="56"/>
        <w:ind w:firstLine="420"/>
      </w:pPr>
      <w:r>
        <w:rPr>
          <w:rFonts w:hint="eastAsia"/>
        </w:rPr>
        <w:t>实现外送样本协同检验。</w:t>
      </w:r>
    </w:p>
    <w:p>
      <w:pPr>
        <w:pStyle w:val="105"/>
        <w:spacing w:before="156" w:after="156"/>
      </w:pPr>
      <w:bookmarkStart w:id="91" w:name="_Toc164166413"/>
      <w:bookmarkStart w:id="92" w:name="_Toc168996635"/>
      <w:r>
        <w:rPr>
          <w:rFonts w:hint="eastAsia"/>
        </w:rPr>
        <w:t>区域LIS数据中心</w:t>
      </w:r>
      <w:bookmarkEnd w:id="91"/>
      <w:bookmarkEnd w:id="92"/>
    </w:p>
    <w:p>
      <w:pPr>
        <w:pStyle w:val="56"/>
        <w:ind w:firstLine="420"/>
      </w:pPr>
      <w:r>
        <w:rPr>
          <w:rFonts w:hint="eastAsia"/>
        </w:rPr>
        <w:t>数据中心由硬件资源和软件系统（如服务器系统、数据库系统、数据及硬件灾备系统等）组成，负责集中存储区域范围内各医疗机构产生的检验数据，具体包括以下几方面：各种基础数据及编码信息，如医疗机构编码、临床实验室编码、检验分类、医嘱项目、样本种类、检测方法、收费信息、检验项目、试剂及耗材信息、仪器及设备信息、分管采样规则、危急值规则、自动审核规则等；各种信息数据，如检验申请信息、样本周转信息、检验结果数据、PDF检验报告、仪器质控数据、失控处理报告、危急值信息等；协同检验结算有关信息，如价格体系、协同检验业务量信息、结算信息等；试剂耗材采购申请信息、供货信息、验货信息、库存信息、使用信息等；与信息化系统及数据访问有关的身份验证信息，数字签名信息等。</w:t>
      </w:r>
    </w:p>
    <w:p>
      <w:pPr>
        <w:pStyle w:val="105"/>
        <w:spacing w:before="156" w:after="156"/>
      </w:pPr>
      <w:bookmarkStart w:id="93" w:name="_Toc168996636"/>
      <w:bookmarkStart w:id="94" w:name="_Toc164166414"/>
      <w:r>
        <w:rPr>
          <w:rFonts w:hint="eastAsia"/>
        </w:rPr>
        <w:t>区域医疗协同平台</w:t>
      </w:r>
      <w:bookmarkEnd w:id="93"/>
      <w:bookmarkEnd w:id="94"/>
    </w:p>
    <w:p>
      <w:pPr>
        <w:pStyle w:val="56"/>
        <w:ind w:firstLine="420"/>
      </w:pPr>
      <w:r>
        <w:rPr>
          <w:rFonts w:hint="eastAsia"/>
        </w:rPr>
        <w:t>区域医疗协同平台承担区域范围内检验协同信息化处理，支持区域内检验中心、二级检验中心信息传递和样本转送。通过协同平台，检验中心和送检医院可以对检验申请信息、样本状态、检验进度和验结果进行查询与跟踪。区域医疗协同平台核心功能包括：</w:t>
      </w:r>
    </w:p>
    <w:p>
      <w:pPr>
        <w:pStyle w:val="174"/>
      </w:pPr>
      <w:r>
        <w:rPr>
          <w:rFonts w:hint="eastAsia"/>
        </w:rPr>
        <w:t>与区域范围内各医疗机构HIS、LIS等系统的互联互通，实现数据的共享和交互。协同平台提供统一标准的数据交换服务程序，供医疗机构相关系统调用，实现数据上传和下载。</w:t>
      </w:r>
    </w:p>
    <w:p>
      <w:pPr>
        <w:pStyle w:val="174"/>
      </w:pPr>
      <w:r>
        <w:rPr>
          <w:rFonts w:hint="eastAsia"/>
        </w:rPr>
        <w:t>协同检验远程申请、条码标签打印、申请清单生成与打印样本交接与跟踪。</w:t>
      </w:r>
    </w:p>
    <w:p>
      <w:pPr>
        <w:pStyle w:val="174"/>
      </w:pPr>
      <w:r>
        <w:rPr>
          <w:rFonts w:hint="eastAsia"/>
        </w:rPr>
        <w:t>提供标准版化的Webservice服务，供各医疗机构LIS调用，将外送申请信息上传到协同平台，避免信息的重复录入，提升效率，减少差错。</w:t>
      </w:r>
    </w:p>
    <w:p>
      <w:pPr>
        <w:pStyle w:val="174"/>
      </w:pPr>
      <w:r>
        <w:rPr>
          <w:rFonts w:hint="eastAsia"/>
        </w:rPr>
        <w:t>检验中心通过扫描样本条码，可从协同平台上下载检验申请信息。</w:t>
      </w:r>
    </w:p>
    <w:p>
      <w:pPr>
        <w:pStyle w:val="174"/>
      </w:pPr>
      <w:r>
        <w:rPr>
          <w:rFonts w:hint="eastAsia"/>
        </w:rPr>
        <w:t>检验中心完成检测后，调用协同平台提供的上传服务，将检验结果数据上传到协同平台上，供后续的查询打印、互认与共享。</w:t>
      </w:r>
    </w:p>
    <w:p>
      <w:pPr>
        <w:pStyle w:val="174"/>
      </w:pPr>
      <w:r>
        <w:rPr>
          <w:rFonts w:hint="eastAsia"/>
        </w:rPr>
        <w:t>区域内各医疗机构从协同平台上下载报告到本地LIS系统中，并查询、打印检验报告。</w:t>
      </w:r>
    </w:p>
    <w:p>
      <w:pPr>
        <w:pStyle w:val="174"/>
      </w:pPr>
      <w:r>
        <w:rPr>
          <w:rFonts w:hint="eastAsia"/>
        </w:rPr>
        <w:t>通过协同平台结算系统，可以完成检验中心与外送机构之间检验业务量统计，完成对账结算。</w:t>
      </w:r>
    </w:p>
    <w:p>
      <w:pPr>
        <w:pStyle w:val="105"/>
        <w:spacing w:before="156" w:after="156"/>
      </w:pPr>
      <w:bookmarkStart w:id="95" w:name="_Toc168996637"/>
      <w:bookmarkStart w:id="96" w:name="_Toc164166415"/>
      <w:r>
        <w:rPr>
          <w:rFonts w:hint="eastAsia"/>
        </w:rPr>
        <w:t>区域检验数据共享平台</w:t>
      </w:r>
      <w:bookmarkEnd w:id="95"/>
      <w:bookmarkEnd w:id="96"/>
    </w:p>
    <w:p>
      <w:pPr>
        <w:pStyle w:val="56"/>
        <w:ind w:firstLine="420"/>
      </w:pPr>
      <w:r>
        <w:rPr>
          <w:rFonts w:hint="eastAsia"/>
        </w:rPr>
        <w:t>区域检验数据共享平台提供检验报告上传和下载标准化服务，供医疗机构HIS或LIS调用。完成检验后，调用共享平台上的服务程序，实时将检验结果数据和报告上传到共享平台上。</w:t>
      </w:r>
    </w:p>
    <w:p>
      <w:pPr>
        <w:pStyle w:val="105"/>
        <w:spacing w:before="156" w:after="156"/>
      </w:pPr>
      <w:bookmarkStart w:id="97" w:name="_Toc168996638"/>
      <w:bookmarkStart w:id="98" w:name="_Toc164166416"/>
      <w:r>
        <w:rPr>
          <w:rFonts w:hint="eastAsia"/>
        </w:rPr>
        <w:t>区域医学检验中心流程设计</w:t>
      </w:r>
      <w:bookmarkEnd w:id="97"/>
      <w:bookmarkEnd w:id="98"/>
    </w:p>
    <w:p>
      <w:pPr>
        <w:pStyle w:val="65"/>
        <w:spacing w:before="156" w:after="156"/>
      </w:pPr>
      <w:bookmarkStart w:id="99" w:name="_Toc164166417"/>
      <w:bookmarkStart w:id="100" w:name="_Toc168996639"/>
      <w:r>
        <w:rPr>
          <w:rFonts w:hint="eastAsia"/>
        </w:rPr>
        <w:t>电子申请和医嘱执行</w:t>
      </w:r>
      <w:bookmarkEnd w:id="99"/>
      <w:bookmarkEnd w:id="100"/>
    </w:p>
    <w:p>
      <w:pPr>
        <w:pStyle w:val="56"/>
        <w:ind w:firstLine="420"/>
      </w:pPr>
      <w:r>
        <w:rPr>
          <w:rFonts w:hint="eastAsia"/>
        </w:rPr>
        <w:t>区域内各委托外送单位HIS、体检系统与LIS对接，医生开具电子申请或生成体检申请单后，采样人员通过LIS获取信息，完成样本采集和条形码打印。</w:t>
      </w:r>
    </w:p>
    <w:p>
      <w:pPr>
        <w:pStyle w:val="65"/>
        <w:spacing w:before="156" w:after="156"/>
      </w:pPr>
      <w:bookmarkStart w:id="101" w:name="_Toc164166418"/>
      <w:bookmarkStart w:id="102" w:name="_Toc168996640"/>
      <w:r>
        <w:rPr>
          <w:rFonts w:hint="eastAsia"/>
        </w:rPr>
        <w:t>样本流转</w:t>
      </w:r>
      <w:bookmarkEnd w:id="101"/>
      <w:bookmarkEnd w:id="102"/>
    </w:p>
    <w:p>
      <w:pPr>
        <w:pStyle w:val="56"/>
        <w:ind w:firstLine="420"/>
      </w:pPr>
      <w:r>
        <w:rPr>
          <w:rFonts w:hint="eastAsia"/>
        </w:rPr>
        <w:t>各委托外送单位检验科将样本签收后批量核收，并通过上传系统发送检验申请至区域检数据共享平台/Web服务器，同时打印外送交接清单，由专业物流将样本运送至区域医学检验中心。</w:t>
      </w:r>
    </w:p>
    <w:p>
      <w:pPr>
        <w:pStyle w:val="65"/>
        <w:spacing w:before="156" w:after="156"/>
      </w:pPr>
      <w:bookmarkStart w:id="103" w:name="_Toc168996641"/>
      <w:bookmarkStart w:id="104" w:name="_Toc164166419"/>
      <w:r>
        <w:rPr>
          <w:rFonts w:hint="eastAsia"/>
        </w:rPr>
        <w:t>样本接收、检测与审核</w:t>
      </w:r>
      <w:bookmarkEnd w:id="103"/>
      <w:bookmarkEnd w:id="104"/>
    </w:p>
    <w:p>
      <w:pPr>
        <w:pStyle w:val="56"/>
        <w:ind w:firstLine="420"/>
      </w:pPr>
      <w:r>
        <w:rPr>
          <w:rFonts w:hint="eastAsia"/>
        </w:rPr>
        <w:t>样本送达区域医学检验中心后，通过条形码签收样本，即可实时从区域检验数据共享平台下载检验申请信息。签收系统按规则可将检验任务自动发送到相应专业组，通过条形码识别对样本进行检验，审核报告上传至区域检验数据共享平台。对于涉及危急值的检验报告，系统可实时推送危急值消息并闪屏提示。</w:t>
      </w:r>
    </w:p>
    <w:p>
      <w:pPr>
        <w:pStyle w:val="65"/>
        <w:spacing w:before="156" w:after="156"/>
      </w:pPr>
      <w:bookmarkStart w:id="105" w:name="_Toc164166420"/>
      <w:bookmarkStart w:id="106" w:name="_Toc168996642"/>
      <w:r>
        <w:rPr>
          <w:rFonts w:hint="eastAsia"/>
        </w:rPr>
        <w:t>报告发布</w:t>
      </w:r>
      <w:bookmarkEnd w:id="105"/>
      <w:bookmarkEnd w:id="106"/>
    </w:p>
    <w:p>
      <w:pPr>
        <w:pStyle w:val="56"/>
        <w:ind w:firstLine="420"/>
      </w:pPr>
      <w:r>
        <w:rPr>
          <w:rFonts w:hint="eastAsia"/>
        </w:rPr>
        <w:t>各委托外送单位LIS系统从区域检验数据共享平台/Web服务器自动下载检验报告。门急诊受检者可在委托外送单位现场自助打印检验报告，医生通过HIS或体检系统查询打印检验报告，也可通过微信公众号、手机软件、互联网等途径支持受检者查询权限内的检验报告。</w:t>
      </w:r>
    </w:p>
    <w:p>
      <w:pPr>
        <w:pStyle w:val="105"/>
        <w:spacing w:before="156" w:after="156"/>
      </w:pPr>
      <w:bookmarkStart w:id="107" w:name="_Toc164166421"/>
      <w:bookmarkStart w:id="108" w:name="_Toc168996643"/>
      <w:r>
        <w:rPr>
          <w:rFonts w:hint="eastAsia"/>
        </w:rPr>
        <w:t>临床实验室信息系统基本功能</w:t>
      </w:r>
      <w:bookmarkEnd w:id="107"/>
      <w:bookmarkEnd w:id="108"/>
    </w:p>
    <w:p>
      <w:pPr>
        <w:pStyle w:val="65"/>
        <w:spacing w:before="156" w:after="156"/>
      </w:pPr>
      <w:bookmarkStart w:id="109" w:name="_Toc168996644"/>
      <w:bookmarkStart w:id="110" w:name="_Toc164166422"/>
      <w:r>
        <w:rPr>
          <w:rFonts w:hint="eastAsia"/>
        </w:rPr>
        <w:t>LIS功能基本要求</w:t>
      </w:r>
      <w:bookmarkEnd w:id="109"/>
      <w:bookmarkEnd w:id="110"/>
    </w:p>
    <w:p>
      <w:pPr>
        <w:pStyle w:val="164"/>
      </w:pPr>
      <w:r>
        <w:rPr>
          <w:rFonts w:hint="eastAsia"/>
        </w:rPr>
        <w:t>应具有样本条码打印、样本采集、运送、编号、信息录入、检验、结果报告整个检验过程信息管理。</w:t>
      </w:r>
    </w:p>
    <w:p>
      <w:pPr>
        <w:pStyle w:val="164"/>
      </w:pPr>
      <w:r>
        <w:rPr>
          <w:rFonts w:hint="eastAsia"/>
        </w:rPr>
        <w:t>应具有与实验室专用设备进行双向通讯功能，通过条码识别查询或直接下发工作单方式控制设备运作，与HIS可以无缝连接。能自动接收来自分析仪的测定结果，并对应到LIS的受检者信息形成检验报告单，检验结果自动检查，以检验项目的正常范围、警告范围及仪器的线性范围为条件，将超出范围的结果以各种方式报警提示。</w:t>
      </w:r>
    </w:p>
    <w:p>
      <w:pPr>
        <w:pStyle w:val="164"/>
      </w:pPr>
      <w:r>
        <w:rPr>
          <w:rFonts w:hint="eastAsia"/>
        </w:rPr>
        <w:t>应具有质控数据自动接收、绘制质控图以及自动统计打印功能。</w:t>
      </w:r>
    </w:p>
    <w:p>
      <w:pPr>
        <w:pStyle w:val="164"/>
      </w:pPr>
      <w:r>
        <w:rPr>
          <w:rFonts w:hint="eastAsia"/>
        </w:rPr>
        <w:t>应具有统计分析功能，能统计分析国家卫生健康委和当地省市临床检验中心发布的质量指标数据。</w:t>
      </w:r>
    </w:p>
    <w:p>
      <w:pPr>
        <w:pStyle w:val="65"/>
        <w:spacing w:before="156" w:after="156"/>
      </w:pPr>
      <w:bookmarkStart w:id="111" w:name="_Toc164166423"/>
      <w:bookmarkStart w:id="112" w:name="_Toc168996645"/>
      <w:r>
        <w:rPr>
          <w:rFonts w:hint="eastAsia"/>
        </w:rPr>
        <w:t>LIS基本功能</w:t>
      </w:r>
      <w:bookmarkEnd w:id="111"/>
      <w:bookmarkEnd w:id="112"/>
    </w:p>
    <w:p>
      <w:pPr>
        <w:pStyle w:val="56"/>
        <w:ind w:firstLine="420"/>
      </w:pPr>
      <w:r>
        <w:rPr>
          <w:rFonts w:hint="eastAsia"/>
        </w:rPr>
        <w:t>LIS基本功能应具有系统设置、业务系统、统计查询、资料打印、质量管理、代码设置等基本模块。</w:t>
      </w:r>
    </w:p>
    <w:p>
      <w:pPr>
        <w:pStyle w:val="104"/>
        <w:spacing w:before="312" w:after="312"/>
      </w:pPr>
      <w:bookmarkStart w:id="113" w:name="_Toc168996646"/>
      <w:bookmarkStart w:id="114" w:name="_Toc164166424"/>
      <w:r>
        <w:rPr>
          <w:rFonts w:hint="eastAsia"/>
          <w:b/>
          <w:bCs/>
        </w:rPr>
        <w:t>运行流程</w:t>
      </w:r>
      <w:bookmarkEnd w:id="113"/>
      <w:bookmarkEnd w:id="114"/>
    </w:p>
    <w:p>
      <w:pPr>
        <w:pStyle w:val="162"/>
      </w:pPr>
      <w:r>
        <w:rPr>
          <w:rFonts w:hint="eastAsia"/>
        </w:rPr>
        <w:t>区域内医共体各医疗单位的临床医生通过医院信息系统（HIS）医生工作站申请检验医嘱，自动生成包含患者信息、检验项目信息的条码，并按设置规则分管。</w:t>
      </w:r>
    </w:p>
    <w:p>
      <w:pPr>
        <w:pStyle w:val="162"/>
      </w:pPr>
      <w:r>
        <w:rPr>
          <w:rFonts w:hint="eastAsia"/>
        </w:rPr>
        <w:t>条码标签由护理或检验人员打印，采集标本后粘贴条码标签，在检验工作站进行标本采集核收。</w:t>
      </w:r>
    </w:p>
    <w:p>
      <w:pPr>
        <w:pStyle w:val="162"/>
      </w:pPr>
      <w:r>
        <w:rPr>
          <w:rFonts w:hint="eastAsia"/>
        </w:rPr>
        <w:t>标本核收后，可通过LIS“区域协同医疗平台”生成送检标本清单，物流工作人员对照清单确认接收送检标本。</w:t>
      </w:r>
    </w:p>
    <w:p>
      <w:pPr>
        <w:pStyle w:val="162"/>
      </w:pPr>
      <w:r>
        <w:rPr>
          <w:rFonts w:hint="eastAsia"/>
        </w:rPr>
        <w:t>标本由具有生物运输资质的物流公司承担收集运送。依据各成员单位所处地理位置和检验项目的时限要求，设计物流路线，配备物流车和专职物流人员。全部标本采用有分区保温（冷藏、低温、常温）和隔热、防震功能的专用接收箱运输。</w:t>
      </w:r>
    </w:p>
    <w:p>
      <w:pPr>
        <w:pStyle w:val="162"/>
      </w:pPr>
      <w:r>
        <w:rPr>
          <w:rFonts w:hint="eastAsia"/>
        </w:rPr>
        <w:t>标本送达中心后，由中心工作人员负责核对签收。应核查运输过程的温度控制，检查样木包装样本的唯一性标识及外观是否完好，核对本数量，验收标本的符合性，及检验申请单与样本数量是否一致，验收合格后双方确认签字，并注明签收时间。</w:t>
      </w:r>
    </w:p>
    <w:p>
      <w:pPr>
        <w:pStyle w:val="162"/>
      </w:pPr>
      <w:r>
        <w:rPr>
          <w:rFonts w:hint="eastAsia"/>
        </w:rPr>
        <w:t>标本完成检验后，在LIS中通过审核，检验结果会实时自动发送并保存到各成员单位“区域信息管理平台”，供查阅和打印检验报告。</w:t>
      </w:r>
    </w:p>
    <w:p>
      <w:pPr>
        <w:pStyle w:val="104"/>
        <w:spacing w:before="312" w:after="312"/>
        <w:rPr>
          <w:b/>
          <w:bCs/>
        </w:rPr>
      </w:pPr>
      <w:bookmarkStart w:id="115" w:name="_Toc164166425"/>
      <w:bookmarkStart w:id="116" w:name="_Toc168996647"/>
      <w:r>
        <w:rPr>
          <w:rFonts w:hint="eastAsia"/>
          <w:b/>
          <w:bCs/>
        </w:rPr>
        <w:t>质量管理</w:t>
      </w:r>
      <w:bookmarkEnd w:id="115"/>
      <w:bookmarkEnd w:id="116"/>
    </w:p>
    <w:p>
      <w:pPr>
        <w:pStyle w:val="105"/>
        <w:spacing w:before="156" w:after="156"/>
      </w:pPr>
      <w:bookmarkStart w:id="117" w:name="_Toc168996648"/>
      <w:bookmarkStart w:id="118" w:name="_Toc164166426"/>
      <w:r>
        <w:rPr>
          <w:rFonts w:hint="eastAsia"/>
        </w:rPr>
        <w:t>检验前过程的质量管理</w:t>
      </w:r>
      <w:bookmarkEnd w:id="117"/>
      <w:bookmarkEnd w:id="118"/>
    </w:p>
    <w:p>
      <w:pPr>
        <w:pStyle w:val="56"/>
        <w:ind w:firstLine="420"/>
      </w:pPr>
      <w:r>
        <w:rPr>
          <w:rFonts w:hint="eastAsia"/>
        </w:rPr>
        <w:t>检验前过程的质量管理至少应包括对临床医生、护理人员、运送人员及受检者的信息指导、检验申请、样本采集、样本转运、样本接收、不合格样本的处理、室内的存放、稳定性及前处理等内容。</w:t>
      </w:r>
    </w:p>
    <w:p>
      <w:pPr>
        <w:pStyle w:val="65"/>
        <w:spacing w:before="156" w:after="156"/>
      </w:pPr>
      <w:bookmarkStart w:id="119" w:name="_Toc168996649"/>
      <w:bookmarkStart w:id="120" w:name="_Toc164166427"/>
      <w:r>
        <w:rPr>
          <w:rFonts w:hint="eastAsia"/>
        </w:rPr>
        <w:t>编写发布《区域检验服务手册》</w:t>
      </w:r>
      <w:bookmarkEnd w:id="119"/>
      <w:bookmarkEnd w:id="120"/>
    </w:p>
    <w:p>
      <w:pPr>
        <w:pStyle w:val="56"/>
        <w:ind w:firstLine="420"/>
      </w:pPr>
      <w:r>
        <w:rPr>
          <w:rFonts w:hint="eastAsia"/>
        </w:rPr>
        <w:t>检验前环节涉及的人员除了检验人员之外，还包括医生、护理人员、运送人员、受检者等，区域医学检验中心可通过编写发布《区域检验服务手册》给予相应的信息指导。区域检验服务手册内容至少应包括：</w:t>
      </w:r>
    </w:p>
    <w:p>
      <w:pPr>
        <w:pStyle w:val="174"/>
        <w:numPr>
          <w:ilvl w:val="0"/>
          <w:numId w:val="32"/>
        </w:numPr>
      </w:pPr>
      <w:r>
        <w:rPr>
          <w:rFonts w:hint="eastAsia"/>
        </w:rPr>
        <w:t>检验中心名称地址、工作时间及联系方式；</w:t>
      </w:r>
    </w:p>
    <w:p>
      <w:pPr>
        <w:pStyle w:val="174"/>
        <w:numPr>
          <w:ilvl w:val="0"/>
          <w:numId w:val="32"/>
        </w:numPr>
      </w:pPr>
      <w:r>
        <w:t>中心提供的临床服务种类及检验申请流程，包括委托其他实验室的检验；</w:t>
      </w:r>
    </w:p>
    <w:p>
      <w:pPr>
        <w:pStyle w:val="174"/>
        <w:numPr>
          <w:ilvl w:val="0"/>
          <w:numId w:val="32"/>
        </w:numPr>
      </w:pPr>
      <w:r>
        <w:rPr>
          <w:rFonts w:hint="eastAsia"/>
        </w:rPr>
        <w:t>中心专业组分类及工作内容；</w:t>
      </w:r>
    </w:p>
    <w:p>
      <w:pPr>
        <w:pStyle w:val="174"/>
        <w:numPr>
          <w:ilvl w:val="0"/>
          <w:numId w:val="32"/>
        </w:numPr>
      </w:pPr>
      <w:r>
        <w:rPr>
          <w:rFonts w:hint="eastAsia"/>
        </w:rPr>
        <w:t>适当时，中心应提供包括样所需的信息、原始样本的量、特殊注意事项、周转时间、生物参考区间和临床决定值；</w:t>
      </w:r>
    </w:p>
    <w:p>
      <w:pPr>
        <w:pStyle w:val="174"/>
        <w:numPr>
          <w:ilvl w:val="0"/>
          <w:numId w:val="32"/>
        </w:numPr>
      </w:pPr>
      <w:r>
        <w:rPr>
          <w:rFonts w:hint="eastAsia"/>
        </w:rPr>
        <w:t>检验申请单填写说明；</w:t>
      </w:r>
    </w:p>
    <w:p>
      <w:pPr>
        <w:pStyle w:val="174"/>
        <w:numPr>
          <w:ilvl w:val="0"/>
          <w:numId w:val="32"/>
        </w:numPr>
      </w:pPr>
      <w:r>
        <w:rPr>
          <w:rFonts w:hint="eastAsia"/>
        </w:rPr>
        <w:t>受检者的准备相关说明；</w:t>
      </w:r>
    </w:p>
    <w:p>
      <w:pPr>
        <w:pStyle w:val="174"/>
        <w:numPr>
          <w:ilvl w:val="0"/>
          <w:numId w:val="32"/>
        </w:numPr>
      </w:pPr>
      <w:r>
        <w:rPr>
          <w:rFonts w:hint="eastAsia"/>
        </w:rPr>
        <w:t>受检者自采样本的说明；</w:t>
      </w:r>
    </w:p>
    <w:p>
      <w:pPr>
        <w:pStyle w:val="174"/>
        <w:numPr>
          <w:ilvl w:val="0"/>
          <w:numId w:val="32"/>
        </w:numPr>
      </w:pPr>
      <w:r>
        <w:rPr>
          <w:rFonts w:hint="eastAsia"/>
        </w:rPr>
        <w:t>样本运送说明，包括特殊处理要求；</w:t>
      </w:r>
    </w:p>
    <w:p>
      <w:pPr>
        <w:pStyle w:val="174"/>
        <w:numPr>
          <w:ilvl w:val="0"/>
          <w:numId w:val="32"/>
        </w:numPr>
      </w:pPr>
      <w:r>
        <w:rPr>
          <w:rFonts w:hint="eastAsia"/>
        </w:rPr>
        <w:t>受检者知情同意要求（如：需委托检验时，同意向相关医疗专家公开临床信息和家族史）；</w:t>
      </w:r>
    </w:p>
    <w:p>
      <w:pPr>
        <w:pStyle w:val="174"/>
        <w:numPr>
          <w:ilvl w:val="0"/>
          <w:numId w:val="32"/>
        </w:numPr>
      </w:pPr>
      <w:r>
        <w:rPr>
          <w:rFonts w:hint="eastAsia"/>
        </w:rPr>
        <w:t>实验室接收和拒收样本的标准；</w:t>
      </w:r>
    </w:p>
    <w:p>
      <w:pPr>
        <w:pStyle w:val="174"/>
        <w:numPr>
          <w:ilvl w:val="0"/>
          <w:numId w:val="32"/>
        </w:numPr>
      </w:pPr>
      <w:r>
        <w:rPr>
          <w:rFonts w:hint="eastAsia"/>
        </w:rPr>
        <w:t>已知对检验性能或结果解释有重要影响的因素清单；</w:t>
      </w:r>
    </w:p>
    <w:p>
      <w:pPr>
        <w:pStyle w:val="174"/>
        <w:numPr>
          <w:ilvl w:val="0"/>
          <w:numId w:val="32"/>
        </w:numPr>
      </w:pPr>
      <w:r>
        <w:rPr>
          <w:rFonts w:hint="eastAsia"/>
        </w:rPr>
        <w:t>检验申请和检验结果解释方面的临床建议；</w:t>
      </w:r>
    </w:p>
    <w:p>
      <w:pPr>
        <w:pStyle w:val="174"/>
        <w:numPr>
          <w:ilvl w:val="0"/>
          <w:numId w:val="32"/>
        </w:numPr>
      </w:pPr>
      <w:r>
        <w:rPr>
          <w:rFonts w:hint="eastAsia"/>
        </w:rPr>
        <w:t>实验室保护个人信息的政策；</w:t>
      </w:r>
    </w:p>
    <w:p>
      <w:pPr>
        <w:pStyle w:val="174"/>
        <w:numPr>
          <w:ilvl w:val="0"/>
          <w:numId w:val="32"/>
        </w:numPr>
      </w:pPr>
      <w:r>
        <w:rPr>
          <w:rFonts w:hint="eastAsia"/>
        </w:rPr>
        <w:t>实验室处理投诉的程序等。</w:t>
      </w:r>
    </w:p>
    <w:p>
      <w:pPr>
        <w:pStyle w:val="65"/>
        <w:spacing w:before="156" w:after="156"/>
      </w:pPr>
      <w:bookmarkStart w:id="121" w:name="_Toc164166428"/>
      <w:bookmarkStart w:id="122" w:name="_Toc168996650"/>
      <w:r>
        <w:rPr>
          <w:rFonts w:hint="eastAsia"/>
        </w:rPr>
        <w:t>对临床医生指导的信息</w:t>
      </w:r>
      <w:bookmarkEnd w:id="121"/>
      <w:bookmarkEnd w:id="122"/>
    </w:p>
    <w:p>
      <w:pPr>
        <w:pStyle w:val="164"/>
      </w:pPr>
      <w:r>
        <w:rPr>
          <w:rFonts w:hint="eastAsia"/>
        </w:rPr>
        <w:t>检验申请的信息。</w:t>
      </w:r>
    </w:p>
    <w:p>
      <w:pPr>
        <w:pStyle w:val="164"/>
      </w:pPr>
      <w:r>
        <w:rPr>
          <w:rFonts w:hint="eastAsia"/>
        </w:rPr>
        <w:t>检验项目的基本信息中心应提供开展的所有检验项目基本信息，包括（不限于）：</w:t>
      </w:r>
    </w:p>
    <w:p>
      <w:pPr>
        <w:pStyle w:val="174"/>
        <w:numPr>
          <w:ilvl w:val="0"/>
          <w:numId w:val="33"/>
        </w:numPr>
      </w:pPr>
      <w:r>
        <w:rPr>
          <w:rFonts w:hint="eastAsia"/>
        </w:rPr>
        <w:t>项目名称及英文缩写；</w:t>
      </w:r>
    </w:p>
    <w:p>
      <w:pPr>
        <w:pStyle w:val="174"/>
        <w:numPr>
          <w:ilvl w:val="0"/>
          <w:numId w:val="33"/>
        </w:numPr>
      </w:pPr>
      <w:r>
        <w:rPr>
          <w:rFonts w:hint="eastAsia"/>
        </w:rPr>
        <w:t>检测方法的原理；</w:t>
      </w:r>
    </w:p>
    <w:p>
      <w:pPr>
        <w:pStyle w:val="174"/>
        <w:numPr>
          <w:ilvl w:val="0"/>
          <w:numId w:val="33"/>
        </w:numPr>
      </w:pPr>
      <w:r>
        <w:rPr>
          <w:rFonts w:hint="eastAsia"/>
        </w:rPr>
        <w:t>对样本类别的要求；</w:t>
      </w:r>
    </w:p>
    <w:p>
      <w:pPr>
        <w:pStyle w:val="174"/>
        <w:numPr>
          <w:ilvl w:val="0"/>
          <w:numId w:val="33"/>
        </w:numPr>
      </w:pPr>
      <w:r>
        <w:rPr>
          <w:rFonts w:hint="eastAsia"/>
        </w:rPr>
        <w:t>项目的参考区间；</w:t>
      </w:r>
    </w:p>
    <w:p>
      <w:pPr>
        <w:pStyle w:val="174"/>
        <w:numPr>
          <w:ilvl w:val="0"/>
          <w:numId w:val="33"/>
        </w:numPr>
      </w:pPr>
      <w:r>
        <w:rPr>
          <w:rFonts w:hint="eastAsia"/>
        </w:rPr>
        <w:t>检验项目的临床意义；</w:t>
      </w:r>
    </w:p>
    <w:p>
      <w:pPr>
        <w:pStyle w:val="174"/>
        <w:numPr>
          <w:ilvl w:val="0"/>
          <w:numId w:val="33"/>
        </w:numPr>
      </w:pPr>
      <w:r>
        <w:rPr>
          <w:rFonts w:hint="eastAsia"/>
        </w:rPr>
        <w:t>检测项目的敏感性和特异性；</w:t>
      </w:r>
    </w:p>
    <w:p>
      <w:pPr>
        <w:pStyle w:val="174"/>
        <w:numPr>
          <w:ilvl w:val="0"/>
          <w:numId w:val="33"/>
        </w:numPr>
      </w:pPr>
      <w:r>
        <w:rPr>
          <w:rFonts w:hint="eastAsia"/>
        </w:rPr>
        <w:t>结果回报时间；</w:t>
      </w:r>
    </w:p>
    <w:p>
      <w:pPr>
        <w:pStyle w:val="174"/>
        <w:numPr>
          <w:ilvl w:val="0"/>
          <w:numId w:val="33"/>
        </w:numPr>
      </w:pPr>
      <w:r>
        <w:rPr>
          <w:rFonts w:hint="eastAsia"/>
        </w:rPr>
        <w:t>检测时间。对于外送第三方的检验项目，也应列在手册上，并在手册上特别标明委托实验室。</w:t>
      </w:r>
    </w:p>
    <w:p>
      <w:pPr>
        <w:pStyle w:val="164"/>
      </w:pPr>
      <w:r>
        <w:rPr>
          <w:rFonts w:hint="eastAsia"/>
        </w:rPr>
        <w:t>检验项目的部分影响因素。</w:t>
      </w:r>
    </w:p>
    <w:p>
      <w:pPr>
        <w:pStyle w:val="164"/>
      </w:pPr>
      <w:r>
        <w:rPr>
          <w:rFonts w:hint="eastAsia"/>
        </w:rPr>
        <w:t>需要医生采集样本（如脑脊液、胸腔积液、腹腔积液、心包腔积液前列腺液、妇科分泌物等）的采集要求，采集时机和采集顺序。</w:t>
      </w:r>
    </w:p>
    <w:p>
      <w:pPr>
        <w:pStyle w:val="65"/>
        <w:spacing w:before="156" w:after="156"/>
      </w:pPr>
      <w:bookmarkStart w:id="123" w:name="_Toc164166429"/>
      <w:bookmarkStart w:id="124" w:name="_Toc168996651"/>
      <w:r>
        <w:rPr>
          <w:rFonts w:hint="eastAsia"/>
        </w:rPr>
        <w:t>对护理人员和检验人员指导的信息</w:t>
      </w:r>
      <w:bookmarkEnd w:id="123"/>
      <w:bookmarkEnd w:id="124"/>
    </w:p>
    <w:p>
      <w:pPr>
        <w:pStyle w:val="164"/>
      </w:pPr>
      <w:r>
        <w:rPr>
          <w:rFonts w:hint="eastAsia"/>
        </w:rPr>
        <w:t>执行标准采集程序</w:t>
      </w:r>
    </w:p>
    <w:p>
      <w:pPr>
        <w:pStyle w:val="164"/>
      </w:pPr>
      <w:r>
        <w:rPr>
          <w:rFonts w:hint="eastAsia"/>
        </w:rPr>
        <w:t>生物安全防护措施</w:t>
      </w:r>
    </w:p>
    <w:p>
      <w:pPr>
        <w:pStyle w:val="164"/>
      </w:pPr>
      <w:r>
        <w:rPr>
          <w:rFonts w:hint="eastAsia"/>
        </w:rPr>
        <w:t>溶血、采血体位、采血部位对检验结果的影响</w:t>
      </w:r>
    </w:p>
    <w:p>
      <w:pPr>
        <w:pStyle w:val="65"/>
        <w:spacing w:before="156" w:after="156"/>
      </w:pPr>
      <w:bookmarkStart w:id="125" w:name="_Toc164166430"/>
      <w:bookmarkStart w:id="126" w:name="_Toc168996652"/>
      <w:r>
        <w:rPr>
          <w:rFonts w:hint="eastAsia"/>
        </w:rPr>
        <w:t>对样本转运人员指导的信息</w:t>
      </w:r>
      <w:bookmarkEnd w:id="125"/>
      <w:bookmarkEnd w:id="126"/>
    </w:p>
    <w:p>
      <w:pPr>
        <w:pStyle w:val="56"/>
        <w:ind w:firstLine="420"/>
      </w:pPr>
      <w:r>
        <w:rPr>
          <w:rFonts w:hint="eastAsia"/>
        </w:rPr>
        <w:t>样本转运人员上岗前必须经过专业的相关知识培训，内容包括各种检验样本的来源、不同检验目的对样本转运的要求、样本采集合格与否的判断、送检样本的生物危险性及其防护、职业暴露样本洒漏的处置等，确保检验样本及时、安全运送至实验室。</w:t>
      </w:r>
    </w:p>
    <w:p>
      <w:pPr>
        <w:pStyle w:val="65"/>
        <w:spacing w:before="156" w:after="156"/>
      </w:pPr>
      <w:bookmarkStart w:id="127" w:name="_Toc164166431"/>
      <w:bookmarkStart w:id="128" w:name="_Toc168996653"/>
      <w:r>
        <w:rPr>
          <w:rFonts w:hint="eastAsia"/>
        </w:rPr>
        <w:t>对受检者指导的信息</w:t>
      </w:r>
      <w:bookmarkEnd w:id="127"/>
      <w:bookmarkEnd w:id="128"/>
    </w:p>
    <w:p>
      <w:pPr>
        <w:pStyle w:val="56"/>
        <w:ind w:firstLine="420"/>
      </w:pPr>
      <w:r>
        <w:rPr>
          <w:rFonts w:hint="eastAsia"/>
        </w:rPr>
        <w:t>在样本采集前应根据需要要求受检者做好相应的准备，避免运动、饮食、生理周期、情绪等的影响。</w:t>
      </w:r>
    </w:p>
    <w:p>
      <w:pPr>
        <w:pStyle w:val="105"/>
        <w:spacing w:before="156" w:after="156"/>
      </w:pPr>
      <w:bookmarkStart w:id="129" w:name="_Toc164166432"/>
      <w:bookmarkStart w:id="130" w:name="_Toc168996654"/>
      <w:r>
        <w:rPr>
          <w:rFonts w:hint="eastAsia"/>
        </w:rPr>
        <w:t>检验中过程的质量管理</w:t>
      </w:r>
      <w:bookmarkEnd w:id="129"/>
      <w:bookmarkEnd w:id="130"/>
    </w:p>
    <w:p>
      <w:pPr>
        <w:pStyle w:val="56"/>
        <w:ind w:firstLine="420"/>
      </w:pPr>
      <w:r>
        <w:rPr>
          <w:rFonts w:hint="eastAsia"/>
        </w:rPr>
        <w:t>检验中过程涉及检验方法/程序的选择、标准化操作规程、临床检验方法分析性能验证仪器间比对室内质控、室间质评、计量溯源、测量不确定度等。检验质量规定临床实验室在引入新的检测系统（如仪器试剂，操作程序等）时，应先建立相应的质量规范，再根据规范的要求进行性能验证，并建立相应的室内质量控制系统，室间质量评估计划或能力验证计划，保证检测质量，最终为临床提供可靠的试验结果与合理解释，保证临床决策的正确运行。</w:t>
      </w:r>
    </w:p>
    <w:p>
      <w:pPr>
        <w:pStyle w:val="65"/>
        <w:spacing w:before="156" w:after="156"/>
      </w:pPr>
      <w:bookmarkStart w:id="131" w:name="_Toc168996655"/>
      <w:bookmarkStart w:id="132" w:name="_Toc164166433"/>
      <w:r>
        <w:rPr>
          <w:rFonts w:hint="eastAsia"/>
        </w:rPr>
        <w:t>室内质量控制</w:t>
      </w:r>
      <w:bookmarkEnd w:id="131"/>
      <w:bookmarkEnd w:id="132"/>
    </w:p>
    <w:p>
      <w:pPr>
        <w:pStyle w:val="94"/>
        <w:spacing w:before="156" w:after="156"/>
      </w:pPr>
      <w:bookmarkStart w:id="133" w:name="_Toc164166434"/>
      <w:bookmarkStart w:id="134" w:name="_Toc168996656"/>
      <w:r>
        <w:rPr>
          <w:rFonts w:hint="eastAsia"/>
        </w:rPr>
        <w:t>质控物</w:t>
      </w:r>
      <w:bookmarkEnd w:id="133"/>
      <w:bookmarkEnd w:id="134"/>
    </w:p>
    <w:p>
      <w:pPr>
        <w:pStyle w:val="56"/>
        <w:ind w:firstLine="420"/>
      </w:pPr>
      <w:r>
        <w:rPr>
          <w:rFonts w:hint="eastAsia"/>
        </w:rPr>
        <w:t>实验室必须选择合适的质控物，宜考虑使用独立的第三方质控物，作为试剂或仪器制造商提供的质控物的替代或补充。</w:t>
      </w:r>
    </w:p>
    <w:p>
      <w:pPr>
        <w:pStyle w:val="94"/>
        <w:spacing w:before="156" w:after="156"/>
      </w:pPr>
      <w:bookmarkStart w:id="135" w:name="_Toc168996657"/>
      <w:bookmarkStart w:id="136" w:name="_Toc164166435"/>
      <w:r>
        <w:rPr>
          <w:rFonts w:hint="eastAsia"/>
        </w:rPr>
        <w:t>质控图的选择、绘制与应用</w:t>
      </w:r>
      <w:bookmarkEnd w:id="135"/>
      <w:bookmarkEnd w:id="136"/>
    </w:p>
    <w:p>
      <w:pPr>
        <w:pStyle w:val="56"/>
        <w:ind w:firstLine="420"/>
      </w:pPr>
      <w:r>
        <w:rPr>
          <w:rFonts w:hint="eastAsia"/>
        </w:rPr>
        <w:t>根据实际情况选择Levey-Jennings质控图、Westgard多规则质控图或Z分数图，除常用质控规则判断室内质控是否在控，也要注意质控结果的趋势性变化。同时，质控图上应记录如日期、试剂批号、质控品批号、操作者等。</w:t>
      </w:r>
    </w:p>
    <w:p>
      <w:pPr>
        <w:pStyle w:val="94"/>
        <w:spacing w:before="156" w:after="156"/>
      </w:pPr>
      <w:bookmarkStart w:id="137" w:name="_Toc168996658"/>
      <w:bookmarkStart w:id="138" w:name="_Toc164166436"/>
      <w:r>
        <w:t>质控数据的收集与记录</w:t>
      </w:r>
      <w:bookmarkEnd w:id="137"/>
      <w:bookmarkEnd w:id="138"/>
    </w:p>
    <w:p>
      <w:pPr>
        <w:pStyle w:val="56"/>
        <w:ind w:firstLine="420"/>
      </w:pPr>
      <w:r>
        <w:rPr>
          <w:rFonts w:hint="eastAsia"/>
        </w:rPr>
        <w:t>应定期评审质控数据，以发现可能提示检验系统问题的检验性能变化趋势，发现此类趋势时应采取预防措施并记录，宜尽量采用统计学和非统计学过程控制技术连续监测检验系统的性能。</w:t>
      </w:r>
    </w:p>
    <w:p>
      <w:pPr>
        <w:pStyle w:val="94"/>
        <w:spacing w:before="156" w:after="156"/>
      </w:pPr>
      <w:bookmarkStart w:id="139" w:name="_Toc168996659"/>
      <w:bookmarkStart w:id="140" w:name="_Toc164166437"/>
      <w:r>
        <w:rPr>
          <w:rFonts w:hint="eastAsia"/>
        </w:rPr>
        <w:t>失控处理及原因分析</w:t>
      </w:r>
      <w:bookmarkEnd w:id="139"/>
      <w:bookmarkEnd w:id="140"/>
    </w:p>
    <w:p>
      <w:pPr>
        <w:pStyle w:val="56"/>
        <w:ind w:firstLine="420"/>
      </w:pPr>
      <w:r>
        <w:rPr>
          <w:rFonts w:hint="eastAsia"/>
        </w:rPr>
        <w:t>如发现质控物测定结果违反质控规则，应记录失控情况或填写失控报告单，上交专业组组长，由专业组组长作出是否发出与失控相关的那批受检者样本检验报告的决定。确认问题的原因，并提出妥善的解决办法，消除失控的原因并防止以后再次发生。</w:t>
      </w:r>
    </w:p>
    <w:p>
      <w:pPr>
        <w:pStyle w:val="65"/>
        <w:spacing w:before="156" w:after="156"/>
      </w:pPr>
      <w:bookmarkStart w:id="141" w:name="_Toc164166438"/>
      <w:bookmarkStart w:id="142" w:name="_Toc168996660"/>
      <w:r>
        <w:rPr>
          <w:rFonts w:hint="eastAsia"/>
        </w:rPr>
        <w:t>室间质量评价</w:t>
      </w:r>
      <w:bookmarkEnd w:id="141"/>
      <w:bookmarkEnd w:id="142"/>
    </w:p>
    <w:p>
      <w:pPr>
        <w:pStyle w:val="56"/>
        <w:ind w:firstLine="420"/>
      </w:pPr>
      <w:r>
        <w:rPr>
          <w:rFonts w:hint="eastAsia"/>
        </w:rPr>
        <w:t>实验室应参加适于相关检验和检验结果解释的实验室间比对计划（如外部质量评价计划或能力验证计划）。实验室应监控实验室间比对计划的结果，当不符合预定的评价标准时，应实施纠正措施。实验室应建立参加实验室间比对的程序并文件化。</w:t>
      </w:r>
    </w:p>
    <w:p>
      <w:pPr>
        <w:pStyle w:val="105"/>
        <w:spacing w:before="156" w:after="156"/>
      </w:pPr>
      <w:bookmarkStart w:id="143" w:name="_Toc168996661"/>
      <w:bookmarkStart w:id="144" w:name="_Toc164166439"/>
      <w:r>
        <w:rPr>
          <w:rFonts w:hint="eastAsia"/>
        </w:rPr>
        <w:t>检验后过程的质量管理</w:t>
      </w:r>
      <w:bookmarkEnd w:id="143"/>
      <w:bookmarkEnd w:id="144"/>
    </w:p>
    <w:p>
      <w:pPr>
        <w:pStyle w:val="65"/>
        <w:spacing w:before="156" w:after="156"/>
      </w:pPr>
      <w:bookmarkStart w:id="145" w:name="_Toc164166440"/>
      <w:bookmarkStart w:id="146" w:name="_Toc168996662"/>
      <w:r>
        <w:rPr>
          <w:rFonts w:hint="eastAsia"/>
        </w:rPr>
        <w:t>检验结果的审核</w:t>
      </w:r>
      <w:bookmarkEnd w:id="145"/>
      <w:bookmarkEnd w:id="146"/>
    </w:p>
    <w:p>
      <w:pPr>
        <w:pStyle w:val="164"/>
      </w:pPr>
      <w:r>
        <w:rPr>
          <w:rFonts w:hint="eastAsia"/>
        </w:rPr>
        <w:t>应制定程序确保检验结果在被授权者发布前得到复核，适当时，应对照室内质控、可利用的临床信息及以前的检验结果进行评估。</w:t>
      </w:r>
    </w:p>
    <w:p>
      <w:pPr>
        <w:pStyle w:val="164"/>
      </w:pPr>
      <w:r>
        <w:rPr>
          <w:rFonts w:hint="eastAsia"/>
        </w:rPr>
        <w:t>建立检验报告单系统性评审制度。</w:t>
      </w:r>
    </w:p>
    <w:p>
      <w:pPr>
        <w:pStyle w:val="164"/>
      </w:pPr>
      <w:r>
        <w:rPr>
          <w:rFonts w:hint="eastAsia"/>
        </w:rPr>
        <w:t>建立严格的检验报告单的签发审核制度。</w:t>
      </w:r>
    </w:p>
    <w:p>
      <w:pPr>
        <w:pStyle w:val="65"/>
        <w:spacing w:before="156" w:after="156"/>
      </w:pPr>
      <w:bookmarkStart w:id="147" w:name="_Toc168996663"/>
      <w:bookmarkStart w:id="148" w:name="_Toc164166441"/>
      <w:r>
        <w:rPr>
          <w:rFonts w:hint="eastAsia"/>
        </w:rPr>
        <w:t>检验后样本的管理</w:t>
      </w:r>
      <w:bookmarkEnd w:id="147"/>
      <w:bookmarkEnd w:id="148"/>
    </w:p>
    <w:p>
      <w:pPr>
        <w:pStyle w:val="56"/>
        <w:ind w:firstLine="420"/>
      </w:pPr>
      <w:r>
        <w:rPr>
          <w:rFonts w:hint="eastAsia"/>
        </w:rPr>
        <w:t>应制订样本的保存与处置程序，对检验后样本进行识别收集保留检索、访问、储存、维护和安全处置的全过程管理，依据分析物的稳定性和实际工作，尽可能满足复查的需要，并确保不会造成环境污染和生物危害。</w:t>
      </w:r>
    </w:p>
    <w:p>
      <w:pPr>
        <w:pStyle w:val="65"/>
        <w:spacing w:before="156" w:after="156"/>
      </w:pPr>
      <w:bookmarkStart w:id="149" w:name="_Toc164166442"/>
      <w:bookmarkStart w:id="150" w:name="_Toc168996664"/>
      <w:r>
        <w:rPr>
          <w:rFonts w:hint="eastAsia"/>
        </w:rPr>
        <w:t>结果报告与发布的管理</w:t>
      </w:r>
      <w:bookmarkEnd w:id="149"/>
      <w:bookmarkEnd w:id="150"/>
    </w:p>
    <w:p>
      <w:pPr>
        <w:pStyle w:val="56"/>
        <w:ind w:firstLine="420"/>
      </w:pPr>
      <w:r>
        <w:rPr>
          <w:rFonts w:hint="eastAsia"/>
        </w:rPr>
        <w:t>主要包括报告内容、格式要求、发放方式报告时间、修改报告以及特殊报告的发放等。此外，危急值报告也是其重要组成部分，应保证危急值能及时传输到临床医生端，以保证最佳救治时机。</w:t>
      </w:r>
    </w:p>
    <w:p>
      <w:pPr>
        <w:pStyle w:val="65"/>
        <w:spacing w:before="156" w:after="156"/>
      </w:pPr>
      <w:bookmarkStart w:id="151" w:name="_Toc164166443"/>
      <w:bookmarkStart w:id="152" w:name="_Toc168996665"/>
      <w:r>
        <w:rPr>
          <w:rFonts w:hint="eastAsia"/>
        </w:rPr>
        <w:t>检验报告打印的管理</w:t>
      </w:r>
      <w:bookmarkEnd w:id="151"/>
      <w:bookmarkEnd w:id="152"/>
    </w:p>
    <w:p>
      <w:pPr>
        <w:pStyle w:val="56"/>
        <w:ind w:firstLine="420"/>
      </w:pPr>
      <w:r>
        <w:rPr>
          <w:rFonts w:hint="eastAsia"/>
        </w:rPr>
        <w:t>检验报告可以电子形式或纸质形式报告单均可。门诊受检者可自助打印或由人工服务台协助打印。住院人群的报告由检验科打印分发或医生打印，并放入病历中，同时，应支持在线查询检验结果，能够通过区域LIS自动向合作单位发送检验报告者。快递邮寄传真邮件和其他电子设备发布检验报告时，应仔细核对接收方姓名、性别、年龄、唯一性识别号、检验项目、检验时间、接收地址等信息，确认对方身份后方可发布报告。针对特殊检验项目（如HIV阳性、梅毒阳性、淋球菌阳性等）的报告，应按照法律法规要求发放，使用自助打印机的应具有数据过滤功能，同时注意保护受检者隐私。</w:t>
      </w:r>
    </w:p>
    <w:p>
      <w:pPr>
        <w:pStyle w:val="65"/>
        <w:spacing w:before="156" w:after="156"/>
      </w:pPr>
      <w:bookmarkStart w:id="153" w:name="_Toc168996666"/>
      <w:bookmarkStart w:id="154" w:name="_Toc164166444"/>
      <w:r>
        <w:rPr>
          <w:rFonts w:hint="eastAsia"/>
        </w:rPr>
        <w:t>检验结果沟通的管理</w:t>
      </w:r>
      <w:bookmarkEnd w:id="153"/>
      <w:bookmarkEnd w:id="154"/>
    </w:p>
    <w:p>
      <w:pPr>
        <w:pStyle w:val="56"/>
        <w:ind w:firstLine="420"/>
      </w:pPr>
      <w:r>
        <w:t>应有能力向临床医生或患者提供咨询服务及检验结果的解释工作，确保检验结果得到有效利用，尤其针对新开展的检验项目要及时对临床医护人员进行培训。</w:t>
      </w:r>
    </w:p>
    <w:p>
      <w:pPr>
        <w:pStyle w:val="56"/>
        <w:ind w:firstLine="420"/>
      </w:pPr>
    </w:p>
    <w:bookmarkEnd w:id="27"/>
    <w:p>
      <w:pPr>
        <w:pStyle w:val="56"/>
        <w:ind w:firstLine="420"/>
        <w:sectPr>
          <w:pgSz w:w="11906" w:h="16838"/>
          <w:pgMar w:top="1928" w:right="1134" w:bottom="1134" w:left="1134" w:header="1418" w:footer="1134" w:gutter="284"/>
          <w:pgNumType w:start="1"/>
          <w:cols w:space="425" w:num="1"/>
          <w:formProt w:val="0"/>
          <w:docGrid w:type="lines" w:linePitch="312" w:charSpace="0"/>
        </w:sectPr>
      </w:pPr>
      <w:bookmarkStart w:id="155" w:name="BookMark6"/>
    </w:p>
    <w:p>
      <w:pPr>
        <w:pStyle w:val="63"/>
        <w:spacing w:after="156"/>
      </w:pPr>
      <w:bookmarkStart w:id="156" w:name="_Toc164166445"/>
      <w:bookmarkStart w:id="157" w:name="_Toc168996667"/>
      <w:r>
        <w:rPr>
          <w:rFonts w:hint="eastAsia"/>
          <w:spacing w:val="105"/>
        </w:rPr>
        <w:t>参考文</w:t>
      </w:r>
      <w:r>
        <w:rPr>
          <w:rFonts w:hint="eastAsia"/>
        </w:rPr>
        <w:t>献</w:t>
      </w:r>
      <w:bookmarkEnd w:id="156"/>
      <w:bookmarkEnd w:id="157"/>
    </w:p>
    <w:p>
      <w:pPr>
        <w:pStyle w:val="56"/>
        <w:ind w:firstLine="420"/>
      </w:pPr>
      <w:r>
        <w:rPr>
          <w:rFonts w:hint="eastAsia"/>
        </w:rPr>
        <w:t>[1] 郑铁生,王惠民,卞修武.区域临床检验与病理规范教程:实验室标准化管理[M].北京:人民卫生出版社,2019.</w:t>
      </w:r>
    </w:p>
    <w:p>
      <w:pPr>
        <w:pStyle w:val="56"/>
        <w:ind w:firstLine="420"/>
      </w:pPr>
      <w:r>
        <w:rPr>
          <w:rFonts w:hint="eastAsia"/>
        </w:rPr>
        <w:t>[2] 陈洪卫,彭亮,侯彦强.上海市松江区区域临床检验中心建设的探索与实践门国际检验医学杂志,2014,35 (18):2569-2570.</w:t>
      </w:r>
    </w:p>
    <w:p>
      <w:pPr>
        <w:pStyle w:val="56"/>
        <w:ind w:firstLine="420"/>
      </w:pPr>
      <w:r>
        <w:rPr>
          <w:rFonts w:hint="eastAsia"/>
        </w:rPr>
        <w:t>[3] 魏军,王青.分级诊疗制度实施中医院实验室如何提供区域检验服务的思考[J].中华临床实验室管理电子杂志,2016.4(4):193-196.</w:t>
      </w:r>
    </w:p>
    <w:p>
      <w:pPr>
        <w:pStyle w:val="56"/>
        <w:ind w:firstLine="420"/>
      </w:pPr>
      <w:r>
        <w:rPr>
          <w:rFonts w:hint="eastAsia"/>
        </w:rPr>
        <w:t>[4] 国家卫生和计划生育委员会.医学检验实验室基本标准(试行)[EB/0L].[2016-07-21),hups:/www.nccl.ongcn/showSearchDetail ?code=-06&amp;id=3.</w:t>
      </w:r>
    </w:p>
    <w:p>
      <w:pPr>
        <w:pStyle w:val="56"/>
        <w:ind w:firstLine="420"/>
      </w:pPr>
      <w:r>
        <w:rPr>
          <w:rFonts w:hint="eastAsia"/>
        </w:rPr>
        <w:t>[5] 胡晓波,李莉.临床实验室质量管理基础[M].北京:人民卫生出版社,2018.</w:t>
      </w:r>
    </w:p>
    <w:p>
      <w:pPr>
        <w:pStyle w:val="56"/>
        <w:ind w:firstLine="420"/>
      </w:pPr>
      <w:r>
        <w:rPr>
          <w:rFonts w:hint="eastAsia"/>
        </w:rPr>
        <w:t>[6] 胡前平.区域检验中心远程申请与发布系统的应用[J].中医药管理杂志,2014(5):819-820.</w:t>
      </w:r>
    </w:p>
    <w:p>
      <w:pPr>
        <w:pStyle w:val="56"/>
        <w:ind w:firstLine="420"/>
      </w:pPr>
      <w:r>
        <w:rPr>
          <w:rFonts w:hint="eastAsia"/>
        </w:rPr>
        <w:t>[7] 从玉隆,王前.临床实验室管理[M].2版.北京:中国医药科技出版社,2010.</w:t>
      </w:r>
    </w:p>
    <w:bookmarkEnd w:id="155"/>
    <w:p>
      <w:pPr>
        <w:pStyle w:val="56"/>
        <w:ind w:firstLine="0" w:firstLineChars="0"/>
        <w:jc w:val="cente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5rF1uAUan35t/kT0DYCfHBXZMFYjyR21NX4Tt4twMeTL/biCiwvrBmS2HwQtc/7sD6nnaODFIhHaebNlbyhoQ==" w:salt="NLulfw7ZbLw18Wkrld/e8g=="/>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OTNhMGQ3Y2RmYmU4YTZlZjdjZDVlZDI0NzI0NWIifQ=="/>
  </w:docVars>
  <w:rsids>
    <w:rsidRoot w:val="00630B0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073"/>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0BA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E76"/>
    <w:rsid w:val="000D329A"/>
    <w:rsid w:val="000D4B9C"/>
    <w:rsid w:val="000D4EB6"/>
    <w:rsid w:val="000D753B"/>
    <w:rsid w:val="000E4C9E"/>
    <w:rsid w:val="000E6FD7"/>
    <w:rsid w:val="000F06E1"/>
    <w:rsid w:val="000F0E3C"/>
    <w:rsid w:val="000F19D5"/>
    <w:rsid w:val="000F4AEA"/>
    <w:rsid w:val="000F633F"/>
    <w:rsid w:val="000F67E9"/>
    <w:rsid w:val="00104926"/>
    <w:rsid w:val="00105264"/>
    <w:rsid w:val="00113B1E"/>
    <w:rsid w:val="001156A5"/>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5CA"/>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C0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8BF"/>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A2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6C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F41"/>
    <w:rsid w:val="002B4508"/>
    <w:rsid w:val="002B5779"/>
    <w:rsid w:val="002B7332"/>
    <w:rsid w:val="002B7F51"/>
    <w:rsid w:val="002C09E7"/>
    <w:rsid w:val="002C1E06"/>
    <w:rsid w:val="002C1E1C"/>
    <w:rsid w:val="002C37FB"/>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CC4"/>
    <w:rsid w:val="00317988"/>
    <w:rsid w:val="003221B4"/>
    <w:rsid w:val="0032258D"/>
    <w:rsid w:val="00322E62"/>
    <w:rsid w:val="00324B8A"/>
    <w:rsid w:val="00324D13"/>
    <w:rsid w:val="00324D2A"/>
    <w:rsid w:val="00324EDD"/>
    <w:rsid w:val="003331E4"/>
    <w:rsid w:val="00336C64"/>
    <w:rsid w:val="00337162"/>
    <w:rsid w:val="0034194F"/>
    <w:rsid w:val="00344605"/>
    <w:rsid w:val="003474AA"/>
    <w:rsid w:val="00350D1D"/>
    <w:rsid w:val="00352C83"/>
    <w:rsid w:val="0035350F"/>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F96"/>
    <w:rsid w:val="003A4077"/>
    <w:rsid w:val="003B09AD"/>
    <w:rsid w:val="003B1F18"/>
    <w:rsid w:val="003B5BF0"/>
    <w:rsid w:val="003B60BF"/>
    <w:rsid w:val="003B6BE3"/>
    <w:rsid w:val="003C010C"/>
    <w:rsid w:val="003C0A6C"/>
    <w:rsid w:val="003C14F8"/>
    <w:rsid w:val="003C5A43"/>
    <w:rsid w:val="003D0519"/>
    <w:rsid w:val="003D0FF6"/>
    <w:rsid w:val="003D262C"/>
    <w:rsid w:val="003D2C1D"/>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F9E"/>
    <w:rsid w:val="00485C89"/>
    <w:rsid w:val="00486BE3"/>
    <w:rsid w:val="004905E4"/>
    <w:rsid w:val="00490A89"/>
    <w:rsid w:val="00490AB4"/>
    <w:rsid w:val="00490BF9"/>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0E4"/>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943"/>
    <w:rsid w:val="00596160"/>
    <w:rsid w:val="005966E2"/>
    <w:rsid w:val="00597007"/>
    <w:rsid w:val="005A0966"/>
    <w:rsid w:val="005A11B7"/>
    <w:rsid w:val="005A260B"/>
    <w:rsid w:val="005A4A1B"/>
    <w:rsid w:val="005A7830"/>
    <w:rsid w:val="005A7FCE"/>
    <w:rsid w:val="005B0F3F"/>
    <w:rsid w:val="005B360D"/>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758"/>
    <w:rsid w:val="00630B09"/>
    <w:rsid w:val="00632182"/>
    <w:rsid w:val="00632AE0"/>
    <w:rsid w:val="00633C17"/>
    <w:rsid w:val="00634D9E"/>
    <w:rsid w:val="00636E3E"/>
    <w:rsid w:val="006379F7"/>
    <w:rsid w:val="00637E4D"/>
    <w:rsid w:val="00640620"/>
    <w:rsid w:val="00641A1F"/>
    <w:rsid w:val="00645904"/>
    <w:rsid w:val="00651ACB"/>
    <w:rsid w:val="00651C47"/>
    <w:rsid w:val="00652AB2"/>
    <w:rsid w:val="006531E0"/>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D2"/>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C70"/>
    <w:rsid w:val="007959E8"/>
    <w:rsid w:val="00795E9C"/>
    <w:rsid w:val="007A0521"/>
    <w:rsid w:val="007A2E12"/>
    <w:rsid w:val="007A3475"/>
    <w:rsid w:val="007A41C8"/>
    <w:rsid w:val="007A4E37"/>
    <w:rsid w:val="007A54CE"/>
    <w:rsid w:val="007A6F46"/>
    <w:rsid w:val="007A6FD9"/>
    <w:rsid w:val="007A7FFA"/>
    <w:rsid w:val="007B04EB"/>
    <w:rsid w:val="007B0D4F"/>
    <w:rsid w:val="007B5A3D"/>
    <w:rsid w:val="007B5B95"/>
    <w:rsid w:val="007B68EA"/>
    <w:rsid w:val="007B6A49"/>
    <w:rsid w:val="007B7453"/>
    <w:rsid w:val="007C1E8B"/>
    <w:rsid w:val="007C2D89"/>
    <w:rsid w:val="007C4593"/>
    <w:rsid w:val="007C5309"/>
    <w:rsid w:val="007C6069"/>
    <w:rsid w:val="007D06C4"/>
    <w:rsid w:val="007D1352"/>
    <w:rsid w:val="007D2508"/>
    <w:rsid w:val="007D346A"/>
    <w:rsid w:val="007D6518"/>
    <w:rsid w:val="007D76BD"/>
    <w:rsid w:val="007E0BF1"/>
    <w:rsid w:val="007F07C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8AA"/>
    <w:rsid w:val="0085173A"/>
    <w:rsid w:val="00856316"/>
    <w:rsid w:val="008603CE"/>
    <w:rsid w:val="008620FC"/>
    <w:rsid w:val="008627A5"/>
    <w:rsid w:val="00863E05"/>
    <w:rsid w:val="00865ACA"/>
    <w:rsid w:val="00865D28"/>
    <w:rsid w:val="00865F85"/>
    <w:rsid w:val="00867C10"/>
    <w:rsid w:val="00870439"/>
    <w:rsid w:val="00870DA1"/>
    <w:rsid w:val="00882EF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6C1"/>
    <w:rsid w:val="008E0C9D"/>
    <w:rsid w:val="008E1648"/>
    <w:rsid w:val="008E1B3E"/>
    <w:rsid w:val="008E2319"/>
    <w:rsid w:val="008E4BB6"/>
    <w:rsid w:val="008E5518"/>
    <w:rsid w:val="008E6A84"/>
    <w:rsid w:val="008F0CDC"/>
    <w:rsid w:val="008F17A3"/>
    <w:rsid w:val="008F1ED3"/>
    <w:rsid w:val="008F23A5"/>
    <w:rsid w:val="008F32B2"/>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933"/>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A7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CF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F6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ACA"/>
    <w:rsid w:val="00A648CD"/>
    <w:rsid w:val="00A6537A"/>
    <w:rsid w:val="00A67866"/>
    <w:rsid w:val="00A70B07"/>
    <w:rsid w:val="00A723F8"/>
    <w:rsid w:val="00A77CCB"/>
    <w:rsid w:val="00A83D8D"/>
    <w:rsid w:val="00A8446B"/>
    <w:rsid w:val="00A8473F"/>
    <w:rsid w:val="00A862D6"/>
    <w:rsid w:val="00A8715E"/>
    <w:rsid w:val="00A91D06"/>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FF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C66"/>
    <w:rsid w:val="00B758BF"/>
    <w:rsid w:val="00B77EC8"/>
    <w:rsid w:val="00B827A6"/>
    <w:rsid w:val="00B831CE"/>
    <w:rsid w:val="00B86677"/>
    <w:rsid w:val="00B87131"/>
    <w:rsid w:val="00B91082"/>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68"/>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2683"/>
    <w:rsid w:val="00C33A08"/>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DB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0B44"/>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D4"/>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4C2F"/>
    <w:rsid w:val="00E35D1E"/>
    <w:rsid w:val="00E364F9"/>
    <w:rsid w:val="00E365FA"/>
    <w:rsid w:val="00E36789"/>
    <w:rsid w:val="00E44A83"/>
    <w:rsid w:val="00E45AA0"/>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004A"/>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0B7"/>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0466E61"/>
    <w:rsid w:val="127C6B6A"/>
    <w:rsid w:val="1D6B1C1D"/>
    <w:rsid w:val="23384D2F"/>
    <w:rsid w:val="2C991E62"/>
    <w:rsid w:val="394A0EC1"/>
    <w:rsid w:val="3A0F59AF"/>
    <w:rsid w:val="3DC15BF5"/>
    <w:rsid w:val="4613530C"/>
    <w:rsid w:val="62DE7EE0"/>
    <w:rsid w:val="72077373"/>
    <w:rsid w:val="7349576A"/>
    <w:rsid w:val="75A9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 w:type="paragraph" w:customStyle="1" w:styleId="231">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C2B0D9BFC84634AFFCA6B84C486B27"/>
        <w:style w:val=""/>
        <w:category>
          <w:name w:val="常规"/>
          <w:gallery w:val="placeholder"/>
        </w:category>
        <w:types>
          <w:type w:val="bbPlcHdr"/>
        </w:types>
        <w:behaviors>
          <w:behavior w:val="content"/>
        </w:behaviors>
        <w:description w:val=""/>
        <w:guid w:val="{CD169CE2-136C-48A1-AF82-6D870154D211}"/>
      </w:docPartPr>
      <w:docPartBody>
        <w:p>
          <w:pPr>
            <w:pStyle w:val="5"/>
            <w:rPr>
              <w:rFonts w:hint="eastAsia"/>
            </w:rPr>
          </w:pPr>
          <w:r>
            <w:rPr>
              <w:rStyle w:val="4"/>
              <w:rFonts w:hint="eastAsia"/>
            </w:rPr>
            <w:t>单击或点击此处输入文字。</w:t>
          </w:r>
        </w:p>
      </w:docPartBody>
    </w:docPart>
    <w:docPart>
      <w:docPartPr>
        <w:name w:val="0E5D4F395976465EAD63A434206413B4"/>
        <w:style w:val=""/>
        <w:category>
          <w:name w:val="常规"/>
          <w:gallery w:val="placeholder"/>
        </w:category>
        <w:types>
          <w:type w:val="bbPlcHdr"/>
        </w:types>
        <w:behaviors>
          <w:behavior w:val="content"/>
        </w:behaviors>
        <w:description w:val=""/>
        <w:guid w:val="{80E8BAB8-384D-446D-91B2-7E1C6589249C}"/>
      </w:docPartPr>
      <w:docPartBody>
        <w:p>
          <w:pPr>
            <w:pStyle w:val="6"/>
            <w:rPr>
              <w:rFonts w:hint="eastAsia"/>
            </w:rPr>
          </w:pPr>
          <w:r>
            <w:rPr>
              <w:rStyle w:val="4"/>
              <w:rFonts w:hint="eastAsia"/>
            </w:rPr>
            <w:t>选择一项。</w:t>
          </w:r>
        </w:p>
      </w:docPartBody>
    </w:docPart>
    <w:docPart>
      <w:docPartPr>
        <w:name w:val="C82AD2F3DB434CC6A47974C998AB8A3E"/>
        <w:style w:val=""/>
        <w:category>
          <w:name w:val="常规"/>
          <w:gallery w:val="placeholder"/>
        </w:category>
        <w:types>
          <w:type w:val="bbPlcHdr"/>
        </w:types>
        <w:behaviors>
          <w:behavior w:val="content"/>
        </w:behaviors>
        <w:description w:val=""/>
        <w:guid w:val="{0D3207B5-4DBF-4B59-AB01-3231B02E8AF5}"/>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C8D"/>
    <w:rsid w:val="002C37FB"/>
    <w:rsid w:val="002F2401"/>
    <w:rsid w:val="003B5E22"/>
    <w:rsid w:val="004F72DE"/>
    <w:rsid w:val="00595943"/>
    <w:rsid w:val="00890C8D"/>
    <w:rsid w:val="008E06C1"/>
    <w:rsid w:val="009116D6"/>
    <w:rsid w:val="00984A7F"/>
    <w:rsid w:val="00B94ADB"/>
    <w:rsid w:val="00DC40B5"/>
    <w:rsid w:val="00EB41EF"/>
    <w:rsid w:val="00ED6F17"/>
    <w:rsid w:val="00EF508A"/>
    <w:rsid w:val="00F4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C2B0D9BFC84634AFFCA6B84C486B2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E5D4F395976465EAD63A434206413B4"/>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C82AD2F3DB434CC6A47974C998AB8A3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2347</Words>
  <Characters>13379</Characters>
  <Lines>111</Lines>
  <Paragraphs>31</Paragraphs>
  <TotalTime>1</TotalTime>
  <ScaleCrop>false</ScaleCrop>
  <LinksUpToDate>false</LinksUpToDate>
  <CharactersWithSpaces>15695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2024-08-08T05:56:00Z</dcterms:created>
  <dc:creator>1</dc:creator>
  <cp:lastModifiedBy>wdaifu</cp:lastModifiedBy>
  <cp:lastPrinted>2020-08-30T10:00:00Z</cp:lastPrinted>
  <dcterms:modified xsi:type="dcterms:W3CDTF">2024-08-13T02:18:10Z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3</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2052-12.1.0.15120</vt:lpwstr>
  </property>
  <property fmtid="{D5CDD505-2E9C-101B-9397-08002B2CF9AE}" pid="15" name="ICV">
    <vt:lpwstr>84F3DE6D70E6431A9347B7755A3B7214_13</vt:lpwstr>
  </property>
</Properties>
</file>